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1EE59" w14:textId="4941DF7A" w:rsidR="00DF1828" w:rsidRPr="0030552F" w:rsidRDefault="00641A07" w:rsidP="00DF1828">
      <w:pPr>
        <w:spacing w:after="0" w:line="240" w:lineRule="auto"/>
        <w:rPr>
          <w:rFonts w:ascii="Century Gothic" w:eastAsia="Century Gothic" w:hAnsi="Century Gothic" w:cs="Century Gothic"/>
          <w:b/>
          <w:bCs/>
          <w:lang w:val="en-CA"/>
        </w:rPr>
      </w:pPr>
      <w:r>
        <w:rPr>
          <w:rFonts w:ascii="Century Gothic" w:eastAsia="Century Gothic" w:hAnsi="Century Gothic" w:cs="Century Gothic"/>
          <w:b/>
          <w:bCs/>
          <w:lang w:val="en"/>
        </w:rPr>
        <w:br/>
      </w:r>
      <w:r w:rsidR="00DF1828" w:rsidRPr="0030552F">
        <w:rPr>
          <w:rFonts w:ascii="Century Gothic" w:eastAsia="Century Gothic" w:hAnsi="Century Gothic" w:cs="Century Gothic"/>
          <w:b/>
          <w:bCs/>
          <w:lang w:val="en"/>
        </w:rPr>
        <w:t>TO:</w:t>
      </w:r>
    </w:p>
    <w:p w14:paraId="11C8C4E1" w14:textId="77777777" w:rsidR="00641A07" w:rsidRDefault="00641A07" w:rsidP="00DF1828">
      <w:pPr>
        <w:spacing w:after="0" w:line="240" w:lineRule="auto"/>
        <w:rPr>
          <w:rFonts w:ascii="Century Gothic" w:eastAsia="Century Gothic" w:hAnsi="Century Gothic" w:cs="Century Gothic"/>
          <w:lang w:val="en-CA"/>
        </w:rPr>
      </w:pPr>
    </w:p>
    <w:p w14:paraId="2F604287" w14:textId="5C17A2AE" w:rsidR="00DF1828" w:rsidRPr="00DF1828" w:rsidRDefault="00DF1828" w:rsidP="00DF1828">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 xml:space="preserve">Hon. Steven </w:t>
      </w:r>
      <w:proofErr w:type="spellStart"/>
      <w:r w:rsidRPr="00DF1828">
        <w:rPr>
          <w:rFonts w:ascii="Century Gothic" w:eastAsia="Century Gothic" w:hAnsi="Century Gothic" w:cs="Century Gothic"/>
          <w:lang w:val="en-CA"/>
        </w:rPr>
        <w:t>Guilbeault</w:t>
      </w:r>
      <w:proofErr w:type="spellEnd"/>
      <w:r w:rsidRPr="00DF1828">
        <w:rPr>
          <w:rFonts w:ascii="Century Gothic" w:eastAsia="Century Gothic" w:hAnsi="Century Gothic" w:cs="Century Gothic"/>
          <w:lang w:val="en-CA"/>
        </w:rPr>
        <w:t>, Minister of Canadian Heritage</w:t>
      </w:r>
    </w:p>
    <w:p w14:paraId="60844541" w14:textId="1B8DBFDC" w:rsidR="00DF1828" w:rsidRPr="00DF1828" w:rsidRDefault="00DF1828" w:rsidP="00DF1828">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Hon. Navdeep Bains, Minister of Innovation, Science and Industry</w:t>
      </w:r>
    </w:p>
    <w:p w14:paraId="2B9D84AD" w14:textId="26CAAEE8" w:rsidR="00DF1828" w:rsidRDefault="00DF1828" w:rsidP="00DF1828">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Hon. Jean-Yves Duclos, President of the Treasury Board</w:t>
      </w:r>
    </w:p>
    <w:p w14:paraId="778918F2" w14:textId="6C14815E" w:rsidR="0030552F" w:rsidRDefault="0030552F">
      <w:pPr>
        <w:rPr>
          <w:rFonts w:ascii="Century Gothic" w:eastAsia="Century Gothic" w:hAnsi="Century Gothic" w:cs="Century Gothic"/>
          <w:lang w:val="en"/>
        </w:rPr>
      </w:pPr>
    </w:p>
    <w:p w14:paraId="454CAF9A" w14:textId="33D9E011" w:rsidR="004B117A" w:rsidRPr="004B117A" w:rsidRDefault="0030552F" w:rsidP="004B117A">
      <w:pPr>
        <w:spacing w:before="120"/>
        <w:rPr>
          <w:rFonts w:ascii="Century Gothic" w:eastAsia="Century Gothic" w:hAnsi="Century Gothic" w:cs="Century Gothic"/>
          <w:lang w:val="en"/>
        </w:rPr>
      </w:pPr>
      <w:r>
        <w:rPr>
          <w:rFonts w:ascii="Century Gothic" w:eastAsia="Century Gothic" w:hAnsi="Century Gothic" w:cs="Century Gothic"/>
          <w:lang w:val="en"/>
        </w:rPr>
        <w:t>September 1</w:t>
      </w:r>
      <w:r w:rsidR="00641A07">
        <w:rPr>
          <w:rFonts w:ascii="Century Gothic" w:eastAsia="Century Gothic" w:hAnsi="Century Gothic" w:cs="Century Gothic"/>
          <w:lang w:val="en"/>
        </w:rPr>
        <w:t>6</w:t>
      </w:r>
      <w:r w:rsidR="004B117A" w:rsidRPr="004B117A">
        <w:rPr>
          <w:rFonts w:ascii="Century Gothic" w:eastAsia="Century Gothic" w:hAnsi="Century Gothic" w:cs="Century Gothic"/>
          <w:lang w:val="en"/>
        </w:rPr>
        <w:t>, 2020</w:t>
      </w:r>
    </w:p>
    <w:p w14:paraId="1E27EC48" w14:textId="45C61B71" w:rsidR="00641A07" w:rsidRPr="00641A07" w:rsidRDefault="00641A07" w:rsidP="004B117A">
      <w:pPr>
        <w:spacing w:before="120"/>
        <w:rPr>
          <w:rFonts w:ascii="Century Gothic" w:eastAsia="Century Gothic" w:hAnsi="Century Gothic" w:cs="Century Gothic"/>
          <w:bCs/>
          <w:lang w:val="en"/>
        </w:rPr>
      </w:pPr>
      <w:r w:rsidRPr="00641A07">
        <w:rPr>
          <w:rFonts w:ascii="Century Gothic" w:eastAsia="Century Gothic" w:hAnsi="Century Gothic" w:cs="Century Gothic"/>
          <w:bCs/>
          <w:lang w:val="en"/>
        </w:rPr>
        <w:t>Dear Ministers,</w:t>
      </w:r>
    </w:p>
    <w:p w14:paraId="6421CCF0" w14:textId="7F2734F7" w:rsidR="004B117A" w:rsidRPr="004B117A" w:rsidRDefault="004B117A" w:rsidP="004B117A">
      <w:pPr>
        <w:spacing w:before="120"/>
        <w:rPr>
          <w:rFonts w:ascii="Century Gothic" w:eastAsia="Century Gothic" w:hAnsi="Century Gothic" w:cs="Century Gothic"/>
          <w:b/>
          <w:lang w:val="en"/>
        </w:rPr>
      </w:pPr>
      <w:r w:rsidRPr="004B117A">
        <w:rPr>
          <w:rFonts w:ascii="Century Gothic" w:eastAsia="Century Gothic" w:hAnsi="Century Gothic" w:cs="Century Gothic"/>
          <w:b/>
          <w:lang w:val="en"/>
        </w:rPr>
        <w:t xml:space="preserve">Canadians Need Unfettered Access </w:t>
      </w:r>
      <w:proofErr w:type="gramStart"/>
      <w:r w:rsidRPr="004B117A">
        <w:rPr>
          <w:rFonts w:ascii="Century Gothic" w:eastAsia="Century Gothic" w:hAnsi="Century Gothic" w:cs="Century Gothic"/>
          <w:b/>
          <w:lang w:val="en"/>
        </w:rPr>
        <w:t>To</w:t>
      </w:r>
      <w:proofErr w:type="gramEnd"/>
      <w:r w:rsidRPr="004B117A">
        <w:rPr>
          <w:rFonts w:ascii="Century Gothic" w:eastAsia="Century Gothic" w:hAnsi="Century Gothic" w:cs="Century Gothic"/>
          <w:b/>
          <w:lang w:val="en"/>
        </w:rPr>
        <w:t xml:space="preserve"> Government Publications In Face Of COVID-19</w:t>
      </w:r>
    </w:p>
    <w:p w14:paraId="05F9DD69" w14:textId="7BE603EE" w:rsidR="004B117A" w:rsidRPr="004B117A" w:rsidRDefault="004B117A" w:rsidP="004B117A">
      <w:pPr>
        <w:spacing w:before="120"/>
        <w:rPr>
          <w:rFonts w:ascii="Century Gothic" w:eastAsia="Century Gothic" w:hAnsi="Century Gothic" w:cs="Century Gothic"/>
          <w:lang w:val="en"/>
        </w:rPr>
      </w:pPr>
      <w:r w:rsidRPr="004B117A">
        <w:rPr>
          <w:rFonts w:ascii="Century Gothic" w:eastAsia="Century Gothic" w:hAnsi="Century Gothic" w:cs="Century Gothic"/>
          <w:lang w:val="en"/>
        </w:rPr>
        <w:t>The Canadian Federation of Library Associations (CFLA) and the Canadian Association of Research Libraries (CARL) are calling on federal and provincial governments to make official publications more accessible to Canadians by assigning a</w:t>
      </w:r>
      <w:r w:rsidR="00AD25E7">
        <w:rPr>
          <w:rFonts w:ascii="Century Gothic" w:eastAsia="Century Gothic" w:hAnsi="Century Gothic" w:cs="Century Gothic"/>
          <w:lang w:val="en"/>
        </w:rPr>
        <w:t xml:space="preserve"> Creative Commons Attribution </w:t>
      </w:r>
      <w:proofErr w:type="spellStart"/>
      <w:r w:rsidR="00AD25E7">
        <w:rPr>
          <w:rFonts w:ascii="Century Gothic" w:eastAsia="Century Gothic" w:hAnsi="Century Gothic" w:cs="Century Gothic"/>
          <w:lang w:val="en"/>
        </w:rPr>
        <w:t>Licence</w:t>
      </w:r>
      <w:proofErr w:type="spellEnd"/>
      <w:r w:rsidRPr="004B117A">
        <w:rPr>
          <w:rFonts w:ascii="Century Gothic" w:eastAsia="Century Gothic" w:hAnsi="Century Gothic" w:cs="Century Gothic"/>
          <w:lang w:val="en"/>
        </w:rPr>
        <w:t xml:space="preserve"> </w:t>
      </w:r>
      <w:r w:rsidR="00AD25E7">
        <w:rPr>
          <w:rFonts w:ascii="Century Gothic" w:eastAsia="Century Gothic" w:hAnsi="Century Gothic" w:cs="Century Gothic"/>
          <w:lang w:val="en"/>
        </w:rPr>
        <w:t>(</w:t>
      </w:r>
      <w:r w:rsidRPr="004B117A">
        <w:rPr>
          <w:rFonts w:ascii="Century Gothic" w:eastAsia="Century Gothic" w:hAnsi="Century Gothic" w:cs="Century Gothic"/>
          <w:lang w:val="en"/>
        </w:rPr>
        <w:t>CC BY</w:t>
      </w:r>
      <w:r w:rsidR="00AD25E7">
        <w:rPr>
          <w:rFonts w:ascii="Century Gothic" w:eastAsia="Century Gothic" w:hAnsi="Century Gothic" w:cs="Century Gothic"/>
          <w:lang w:val="en"/>
        </w:rPr>
        <w:t>)</w:t>
      </w:r>
      <w:r w:rsidRPr="004B117A">
        <w:rPr>
          <w:rFonts w:ascii="Century Gothic" w:eastAsia="Century Gothic" w:hAnsi="Century Gothic" w:cs="Century Gothic"/>
          <w:lang w:val="en"/>
        </w:rPr>
        <w:t xml:space="preserve"> to publicly available government information. We see this as a necessary and immediate response to COVID-19 and the appropriate default model for accessing government information.</w:t>
      </w:r>
    </w:p>
    <w:p w14:paraId="39223F3F" w14:textId="77777777" w:rsidR="004B117A" w:rsidRPr="004B117A" w:rsidRDefault="004B117A" w:rsidP="004B117A">
      <w:pPr>
        <w:spacing w:before="120"/>
        <w:rPr>
          <w:rFonts w:ascii="Century Gothic" w:eastAsia="Century Gothic" w:hAnsi="Century Gothic" w:cs="Century Gothic"/>
          <w:lang w:val="en"/>
        </w:rPr>
      </w:pPr>
      <w:r w:rsidRPr="004B117A">
        <w:rPr>
          <w:rFonts w:ascii="Century Gothic" w:eastAsia="Century Gothic" w:hAnsi="Century Gothic" w:cs="Century Gothic"/>
          <w:lang w:val="en"/>
        </w:rPr>
        <w:t xml:space="preserve">Over the past months, as they faced unprecedented challenges caused by COVID-19, Canadians have relied on their governments for information related to the novel coronavirus and its impact. Now more than ever, unfettered access to taxpayer-funded government information is of fundamental importance to a democratic society and to the health of its citizens. </w:t>
      </w:r>
    </w:p>
    <w:p w14:paraId="63B8ABDD" w14:textId="77777777" w:rsidR="004B117A" w:rsidRPr="004B117A" w:rsidRDefault="004B117A" w:rsidP="004B117A">
      <w:pPr>
        <w:spacing w:before="120"/>
        <w:rPr>
          <w:rFonts w:ascii="Century Gothic" w:eastAsia="Century Gothic" w:hAnsi="Century Gothic" w:cs="Century Gothic"/>
          <w:lang w:val="en"/>
        </w:rPr>
      </w:pPr>
      <w:r w:rsidRPr="004B117A">
        <w:rPr>
          <w:rFonts w:ascii="Century Gothic" w:eastAsia="Century Gothic" w:hAnsi="Century Gothic" w:cs="Century Gothic"/>
          <w:lang w:val="en"/>
        </w:rPr>
        <w:t xml:space="preserve">Unfortunately, pre-existing barriers and confusion related to Crown copyright have exacerbated the issues associated with accessing government information. For example, onerous and unnecessary permission requests to government departments are subject to extensive delays; existing digital content remains unnecessarily restricted; and questions about the control and dissemination of both print and digital works, as well as data collections, hamper their sharing and redistribution. </w:t>
      </w:r>
    </w:p>
    <w:p w14:paraId="42DF1D86" w14:textId="77777777" w:rsidR="007D225C" w:rsidRPr="007D225C" w:rsidRDefault="004B117A" w:rsidP="004B117A">
      <w:pPr>
        <w:spacing w:before="120"/>
        <w:rPr>
          <w:rFonts w:ascii="Century Gothic" w:eastAsia="Century Gothic" w:hAnsi="Century Gothic" w:cs="Century Gothic"/>
          <w:lang w:val="en"/>
        </w:rPr>
      </w:pPr>
      <w:r w:rsidRPr="004B117A">
        <w:rPr>
          <w:rFonts w:ascii="Century Gothic" w:eastAsia="Century Gothic" w:hAnsi="Century Gothic" w:cs="Century Gothic"/>
          <w:lang w:val="en"/>
        </w:rPr>
        <w:t xml:space="preserve">The appropriate action would be the assignment of a recognized open </w:t>
      </w:r>
      <w:proofErr w:type="spellStart"/>
      <w:r w:rsidRPr="004B117A">
        <w:rPr>
          <w:rFonts w:ascii="Century Gothic" w:eastAsia="Century Gothic" w:hAnsi="Century Gothic" w:cs="Century Gothic"/>
          <w:lang w:val="en"/>
        </w:rPr>
        <w:t>licence</w:t>
      </w:r>
      <w:proofErr w:type="spellEnd"/>
      <w:r w:rsidRPr="004B117A">
        <w:rPr>
          <w:rFonts w:ascii="Century Gothic" w:eastAsia="Century Gothic" w:hAnsi="Century Gothic" w:cs="Century Gothic"/>
          <w:lang w:val="en"/>
        </w:rPr>
        <w:t xml:space="preserve"> to publicly accessible government content. </w:t>
      </w:r>
    </w:p>
    <w:p w14:paraId="75908EEE" w14:textId="333CE9B9" w:rsidR="004B117A" w:rsidRPr="004B117A" w:rsidRDefault="004B117A" w:rsidP="004B117A">
      <w:pPr>
        <w:spacing w:before="120"/>
        <w:rPr>
          <w:rFonts w:ascii="Century Gothic" w:eastAsia="Century Gothic" w:hAnsi="Century Gothic" w:cs="Century Gothic"/>
          <w:lang w:val="en"/>
        </w:rPr>
      </w:pPr>
      <w:r w:rsidRPr="004B117A">
        <w:rPr>
          <w:rFonts w:ascii="Century Gothic" w:eastAsia="Century Gothic" w:hAnsi="Century Gothic" w:cs="Century Gothic"/>
          <w:lang w:val="en"/>
        </w:rPr>
        <w:t xml:space="preserve">Specifically, the retroactive and ongoing assignment of a Creative Commons </w:t>
      </w:r>
      <w:proofErr w:type="spellStart"/>
      <w:r w:rsidRPr="004B117A">
        <w:rPr>
          <w:rFonts w:ascii="Century Gothic" w:eastAsia="Century Gothic" w:hAnsi="Century Gothic" w:cs="Century Gothic"/>
          <w:lang w:val="en"/>
        </w:rPr>
        <w:t>licence</w:t>
      </w:r>
      <w:proofErr w:type="spellEnd"/>
      <w:r w:rsidRPr="004B117A">
        <w:rPr>
          <w:rFonts w:ascii="Century Gothic" w:eastAsia="Century Gothic" w:hAnsi="Century Gothic" w:cs="Century Gothic"/>
          <w:vertAlign w:val="superscript"/>
          <w:lang w:val="en"/>
        </w:rPr>
        <w:footnoteReference w:id="1"/>
      </w:r>
      <w:r w:rsidRPr="004B117A">
        <w:rPr>
          <w:rFonts w:ascii="Century Gothic" w:eastAsia="Century Gothic" w:hAnsi="Century Gothic" w:cs="Century Gothic"/>
          <w:lang w:val="en"/>
        </w:rPr>
        <w:t xml:space="preserve"> to all publicly available government publications would help alleviate copyright-related </w:t>
      </w:r>
      <w:r w:rsidRPr="004B117A">
        <w:rPr>
          <w:rFonts w:ascii="Century Gothic" w:eastAsia="Century Gothic" w:hAnsi="Century Gothic" w:cs="Century Gothic"/>
          <w:lang w:val="en"/>
        </w:rPr>
        <w:lastRenderedPageBreak/>
        <w:t xml:space="preserve">legal barriers that prevent preservation, reproduction, and redistribution of these important reports and parliamentary proceedings, many of which relate directly to health and safety issues. Such a </w:t>
      </w:r>
      <w:proofErr w:type="spellStart"/>
      <w:r w:rsidRPr="004B117A">
        <w:rPr>
          <w:rFonts w:ascii="Century Gothic" w:eastAsia="Century Gothic" w:hAnsi="Century Gothic" w:cs="Century Gothic"/>
          <w:lang w:val="en"/>
        </w:rPr>
        <w:t>licence</w:t>
      </w:r>
      <w:proofErr w:type="spellEnd"/>
      <w:r w:rsidRPr="004B117A">
        <w:rPr>
          <w:rFonts w:ascii="Century Gothic" w:eastAsia="Century Gothic" w:hAnsi="Century Gothic" w:cs="Century Gothic"/>
          <w:lang w:val="en"/>
        </w:rPr>
        <w:t xml:space="preserve"> would improve on the implementation of the existing Open Government </w:t>
      </w:r>
      <w:proofErr w:type="spellStart"/>
      <w:r w:rsidRPr="004B117A">
        <w:rPr>
          <w:rFonts w:ascii="Century Gothic" w:eastAsia="Century Gothic" w:hAnsi="Century Gothic" w:cs="Century Gothic"/>
          <w:lang w:val="en"/>
        </w:rPr>
        <w:t>Licence</w:t>
      </w:r>
      <w:proofErr w:type="spellEnd"/>
      <w:r w:rsidRPr="004B117A">
        <w:rPr>
          <w:rFonts w:ascii="Century Gothic" w:eastAsia="Century Gothic" w:hAnsi="Century Gothic" w:cs="Century Gothic"/>
          <w:lang w:val="en"/>
        </w:rPr>
        <w:t xml:space="preserve"> and mirror policy decisions in </w:t>
      </w:r>
      <w:hyperlink r:id="rId8">
        <w:r w:rsidRPr="004B117A">
          <w:rPr>
            <w:rStyle w:val="Hyperlink"/>
            <w:rFonts w:ascii="Century Gothic" w:eastAsia="Century Gothic" w:hAnsi="Century Gothic" w:cs="Century Gothic"/>
            <w:lang w:val="en"/>
          </w:rPr>
          <w:t>other jurisdictions</w:t>
        </w:r>
      </w:hyperlink>
      <w:r w:rsidRPr="004B117A">
        <w:rPr>
          <w:rFonts w:ascii="Century Gothic" w:eastAsia="Century Gothic" w:hAnsi="Century Gothic" w:cs="Century Gothic"/>
          <w:lang w:val="en"/>
        </w:rPr>
        <w:t xml:space="preserve"> including Australia and New Zealand.</w:t>
      </w:r>
    </w:p>
    <w:p w14:paraId="2A66398C" w14:textId="77777777" w:rsidR="004B117A" w:rsidRPr="004B117A" w:rsidRDefault="004B117A" w:rsidP="004B117A">
      <w:pPr>
        <w:spacing w:before="120"/>
        <w:rPr>
          <w:rFonts w:ascii="Century Gothic" w:eastAsia="Century Gothic" w:hAnsi="Century Gothic" w:cs="Century Gothic"/>
          <w:lang w:val="en"/>
        </w:rPr>
      </w:pPr>
      <w:r w:rsidRPr="004B117A">
        <w:rPr>
          <w:rFonts w:ascii="Century Gothic" w:eastAsia="Century Gothic" w:hAnsi="Century Gothic" w:cs="Century Gothic"/>
          <w:lang w:val="en"/>
        </w:rPr>
        <w:t xml:space="preserve">A retroactive default CC BY </w:t>
      </w:r>
      <w:proofErr w:type="spellStart"/>
      <w:r w:rsidRPr="004B117A">
        <w:rPr>
          <w:rFonts w:ascii="Century Gothic" w:eastAsia="Century Gothic" w:hAnsi="Century Gothic" w:cs="Century Gothic"/>
          <w:lang w:val="en"/>
        </w:rPr>
        <w:t>licence</w:t>
      </w:r>
      <w:proofErr w:type="spellEnd"/>
      <w:r w:rsidRPr="004B117A">
        <w:rPr>
          <w:rFonts w:ascii="Century Gothic" w:eastAsia="Century Gothic" w:hAnsi="Century Gothic" w:cs="Century Gothic"/>
          <w:lang w:val="en"/>
        </w:rPr>
        <w:t xml:space="preserve"> would immediately open up hundreds of thousands of digital and print government publications, including tens of thousands that have already been digitized by members of the library partnership </w:t>
      </w:r>
      <w:hyperlink r:id="rId9">
        <w:proofErr w:type="spellStart"/>
        <w:r w:rsidRPr="004B117A">
          <w:rPr>
            <w:rStyle w:val="Hyperlink"/>
            <w:rFonts w:ascii="Century Gothic" w:eastAsia="Century Gothic" w:hAnsi="Century Gothic" w:cs="Century Gothic"/>
            <w:lang w:val="en"/>
          </w:rPr>
          <w:t>HathiTrust</w:t>
        </w:r>
        <w:proofErr w:type="spellEnd"/>
      </w:hyperlink>
      <w:r w:rsidRPr="004B117A">
        <w:rPr>
          <w:rFonts w:ascii="Century Gothic" w:eastAsia="Century Gothic" w:hAnsi="Century Gothic" w:cs="Century Gothic"/>
          <w:lang w:val="en"/>
        </w:rPr>
        <w:t xml:space="preserve">. This international non-profit organization is currently investing hundreds of staff hours to review Canadian government publications for copyright clearance -- time and energy that would not be necessary with the assignment of a comprehensive, standard open </w:t>
      </w:r>
      <w:proofErr w:type="spellStart"/>
      <w:r w:rsidRPr="004B117A">
        <w:rPr>
          <w:rFonts w:ascii="Century Gothic" w:eastAsia="Century Gothic" w:hAnsi="Century Gothic" w:cs="Century Gothic"/>
          <w:lang w:val="en"/>
        </w:rPr>
        <w:t>licence</w:t>
      </w:r>
      <w:proofErr w:type="spellEnd"/>
      <w:r w:rsidRPr="004B117A">
        <w:rPr>
          <w:rFonts w:ascii="Century Gothic" w:eastAsia="Century Gothic" w:hAnsi="Century Gothic" w:cs="Century Gothic"/>
          <w:lang w:val="en"/>
        </w:rPr>
        <w:t xml:space="preserve">. Assigning a recognized open </w:t>
      </w:r>
      <w:proofErr w:type="spellStart"/>
      <w:r w:rsidRPr="004B117A">
        <w:rPr>
          <w:rFonts w:ascii="Century Gothic" w:eastAsia="Century Gothic" w:hAnsi="Century Gothic" w:cs="Century Gothic"/>
          <w:lang w:val="en"/>
        </w:rPr>
        <w:t>licence</w:t>
      </w:r>
      <w:proofErr w:type="spellEnd"/>
      <w:r w:rsidRPr="004B117A">
        <w:rPr>
          <w:rFonts w:ascii="Century Gothic" w:eastAsia="Century Gothic" w:hAnsi="Century Gothic" w:cs="Century Gothic"/>
          <w:lang w:val="en"/>
        </w:rPr>
        <w:t xml:space="preserve"> would also resolve the constraints associated with the digitization and sharing of published material in library and archival collections.  </w:t>
      </w:r>
    </w:p>
    <w:p w14:paraId="65A339CE" w14:textId="4875BA40" w:rsidR="007D225C" w:rsidRPr="004B117A" w:rsidRDefault="004B117A" w:rsidP="007D225C">
      <w:pPr>
        <w:spacing w:before="120"/>
        <w:rPr>
          <w:rFonts w:ascii="Century Gothic" w:eastAsia="Century Gothic" w:hAnsi="Century Gothic" w:cs="Century Gothic"/>
          <w:lang w:val="en"/>
        </w:rPr>
      </w:pPr>
      <w:r w:rsidRPr="004B117A">
        <w:rPr>
          <w:rFonts w:ascii="Century Gothic" w:eastAsia="Century Gothic" w:hAnsi="Century Gothic" w:cs="Century Gothic"/>
          <w:lang w:val="en"/>
        </w:rPr>
        <w:t xml:space="preserve">Canadians deserve unfettered access to information produced by their government for the purpose of broad dissemination. A retroactive and continuing default CC BY </w:t>
      </w:r>
      <w:proofErr w:type="spellStart"/>
      <w:r w:rsidRPr="004B117A">
        <w:rPr>
          <w:rFonts w:ascii="Century Gothic" w:eastAsia="Century Gothic" w:hAnsi="Century Gothic" w:cs="Century Gothic"/>
          <w:lang w:val="en"/>
        </w:rPr>
        <w:t>licence</w:t>
      </w:r>
      <w:proofErr w:type="spellEnd"/>
      <w:r w:rsidRPr="004B117A">
        <w:rPr>
          <w:rFonts w:ascii="Century Gothic" w:eastAsia="Century Gothic" w:hAnsi="Century Gothic" w:cs="Century Gothic"/>
          <w:lang w:val="en"/>
        </w:rPr>
        <w:t xml:space="preserve"> would help move Canada closer to its aims with Open Government and to the re-examination of section 12 that was recently suggested by the Supreme Court of Canada</w:t>
      </w:r>
      <w:r w:rsidRPr="004B117A">
        <w:rPr>
          <w:rFonts w:ascii="Century Gothic" w:eastAsia="Century Gothic" w:hAnsi="Century Gothic" w:cs="Century Gothic"/>
          <w:vertAlign w:val="superscript"/>
          <w:lang w:val="en"/>
        </w:rPr>
        <w:footnoteReference w:id="2"/>
      </w:r>
      <w:r w:rsidRPr="004B117A">
        <w:rPr>
          <w:rFonts w:ascii="Century Gothic" w:eastAsia="Century Gothic" w:hAnsi="Century Gothic" w:cs="Century Gothic"/>
          <w:lang w:val="en"/>
        </w:rPr>
        <w:t xml:space="preserve"> and the parliamentary committee that reviewed the </w:t>
      </w:r>
      <w:r w:rsidRPr="004B117A">
        <w:rPr>
          <w:rFonts w:ascii="Century Gothic" w:eastAsia="Century Gothic" w:hAnsi="Century Gothic" w:cs="Century Gothic"/>
          <w:i/>
          <w:lang w:val="en"/>
        </w:rPr>
        <w:t>Copyright Act.</w:t>
      </w:r>
      <w:r w:rsidRPr="004B117A">
        <w:rPr>
          <w:rFonts w:ascii="Century Gothic" w:eastAsia="Century Gothic" w:hAnsi="Century Gothic" w:cs="Century Gothic"/>
          <w:vertAlign w:val="superscript"/>
          <w:lang w:val="en"/>
        </w:rPr>
        <w:footnoteReference w:id="3"/>
      </w:r>
    </w:p>
    <w:p w14:paraId="73DEE47E" w14:textId="36CF7D09" w:rsidR="00143DBE" w:rsidRDefault="00875D51" w:rsidP="004B117A">
      <w:pPr>
        <w:spacing w:before="120"/>
        <w:rPr>
          <w:rFonts w:ascii="Century Gothic" w:eastAsia="Century Gothic" w:hAnsi="Century Gothic" w:cs="Century Gothic"/>
        </w:rPr>
      </w:pPr>
      <w:r>
        <w:rPr>
          <w:rFonts w:ascii="Century Gothic" w:eastAsia="Century Gothic" w:hAnsi="Century Gothic" w:cs="Century Gothic"/>
        </w:rPr>
        <w:t>For more information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7F19" w:rsidRPr="005F7F19" w14:paraId="4206CFDF" w14:textId="77777777" w:rsidTr="002B2205">
        <w:tc>
          <w:tcPr>
            <w:tcW w:w="4675" w:type="dxa"/>
          </w:tcPr>
          <w:p w14:paraId="074E00B7" w14:textId="17A3D044" w:rsidR="005F7F19" w:rsidRPr="00D55CEB" w:rsidRDefault="005F7F19" w:rsidP="002B2205">
            <w:pPr>
              <w:rPr>
                <w:rFonts w:ascii="Century Gothic" w:eastAsia="Times New Roman" w:hAnsi="Century Gothic"/>
              </w:rPr>
            </w:pPr>
            <w:r>
              <w:rPr>
                <w:rFonts w:ascii="Century Gothic" w:eastAsia="Century Gothic" w:hAnsi="Century Gothic" w:cs="Century Gothic"/>
              </w:rPr>
              <w:t>Rebecca Raven</w:t>
            </w:r>
            <w:r w:rsidRPr="00D55CEB">
              <w:rPr>
                <w:rFonts w:ascii="Century Gothic" w:eastAsia="Times New Roman" w:hAnsi="Century Gothic"/>
              </w:rPr>
              <w:br/>
              <w:t>Executive Director</w:t>
            </w:r>
            <w:r w:rsidRPr="00D55CEB">
              <w:rPr>
                <w:rFonts w:ascii="Century Gothic" w:eastAsia="Times New Roman" w:hAnsi="Century Gothic"/>
              </w:rPr>
              <w:br/>
            </w:r>
            <w:r>
              <w:rPr>
                <w:rFonts w:ascii="Century Gothic" w:eastAsia="Century Gothic" w:hAnsi="Century Gothic" w:cs="Century Gothic"/>
              </w:rPr>
              <w:t>rraven@cfla-fcab.ca</w:t>
            </w:r>
          </w:p>
        </w:tc>
        <w:tc>
          <w:tcPr>
            <w:tcW w:w="4675" w:type="dxa"/>
          </w:tcPr>
          <w:p w14:paraId="567E3011" w14:textId="26902C27" w:rsidR="005F7F19" w:rsidRPr="005F7F19" w:rsidRDefault="005F7F19" w:rsidP="002B2205">
            <w:pPr>
              <w:rPr>
                <w:rFonts w:ascii="Century Gothic" w:eastAsia="Times New Roman" w:hAnsi="Century Gothic"/>
                <w:lang w:val="en-CA"/>
              </w:rPr>
            </w:pPr>
            <w:r w:rsidRPr="005F7F19">
              <w:rPr>
                <w:rFonts w:ascii="Century Gothic" w:eastAsia="Times New Roman" w:hAnsi="Century Gothic"/>
                <w:lang w:val="en-CA"/>
              </w:rPr>
              <w:t>Victoria Ow</w:t>
            </w:r>
            <w:r>
              <w:rPr>
                <w:rFonts w:ascii="Century Gothic" w:eastAsia="Times New Roman" w:hAnsi="Century Gothic"/>
                <w:lang w:val="en-CA"/>
              </w:rPr>
              <w:t>en</w:t>
            </w:r>
            <w:r w:rsidRPr="005F7F19">
              <w:rPr>
                <w:rFonts w:ascii="Century Gothic" w:eastAsia="Times New Roman" w:hAnsi="Century Gothic"/>
                <w:lang w:val="en-CA"/>
              </w:rPr>
              <w:br/>
              <w:t xml:space="preserve">Chair, CFLA-FCAB </w:t>
            </w:r>
            <w:r>
              <w:rPr>
                <w:rFonts w:ascii="Century Gothic" w:eastAsia="Times New Roman" w:hAnsi="Century Gothic"/>
                <w:lang w:val="en-CA"/>
              </w:rPr>
              <w:t>Copyright</w:t>
            </w:r>
            <w:r w:rsidRPr="005F7F19">
              <w:rPr>
                <w:rFonts w:ascii="Century Gothic" w:eastAsia="Times New Roman" w:hAnsi="Century Gothic"/>
                <w:lang w:val="en-CA"/>
              </w:rPr>
              <w:t xml:space="preserve"> Committee</w:t>
            </w:r>
            <w:r w:rsidRPr="005F7F19">
              <w:rPr>
                <w:rFonts w:ascii="Century Gothic" w:eastAsia="Times New Roman" w:hAnsi="Century Gothic"/>
                <w:lang w:val="en-CA"/>
              </w:rPr>
              <w:br/>
              <w:t>victoria.owen@utoronto.ca</w:t>
            </w:r>
            <w:r w:rsidRPr="005F7F19">
              <w:rPr>
                <w:rFonts w:ascii="Century Gothic" w:eastAsia="Times New Roman" w:hAnsi="Century Gothic"/>
                <w:lang w:val="en-CA"/>
              </w:rPr>
              <w:br/>
            </w:r>
          </w:p>
        </w:tc>
      </w:tr>
    </w:tbl>
    <w:p w14:paraId="67770D6D" w14:textId="77777777" w:rsidR="00641A07" w:rsidRPr="0030552F" w:rsidRDefault="00641A07" w:rsidP="00641A07">
      <w:pPr>
        <w:spacing w:after="0" w:line="240" w:lineRule="auto"/>
        <w:rPr>
          <w:rFonts w:ascii="Century Gothic" w:eastAsia="Century Gothic" w:hAnsi="Century Gothic" w:cs="Century Gothic"/>
          <w:b/>
          <w:bCs/>
          <w:lang w:val="en-CA"/>
        </w:rPr>
      </w:pPr>
      <w:r w:rsidRPr="0030552F">
        <w:rPr>
          <w:rFonts w:ascii="Century Gothic" w:eastAsia="Century Gothic" w:hAnsi="Century Gothic" w:cs="Century Gothic"/>
          <w:b/>
          <w:bCs/>
          <w:lang w:val="en-CA"/>
        </w:rPr>
        <w:t>CC to:</w:t>
      </w:r>
    </w:p>
    <w:p w14:paraId="5D4B092E" w14:textId="77777777" w:rsidR="00641A07" w:rsidRPr="00DF1828" w:rsidRDefault="00641A07" w:rsidP="00641A07">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 xml:space="preserve">Ali </w:t>
      </w:r>
      <w:proofErr w:type="spellStart"/>
      <w:r w:rsidRPr="00DF1828">
        <w:rPr>
          <w:rFonts w:ascii="Century Gothic" w:eastAsia="Century Gothic" w:hAnsi="Century Gothic" w:cs="Century Gothic"/>
          <w:lang w:val="en-CA"/>
        </w:rPr>
        <w:t>Ehsassi</w:t>
      </w:r>
      <w:proofErr w:type="spellEnd"/>
      <w:r w:rsidRPr="00DF1828">
        <w:rPr>
          <w:rFonts w:ascii="Century Gothic" w:eastAsia="Century Gothic" w:hAnsi="Century Gothic" w:cs="Century Gothic"/>
          <w:lang w:val="en-CA"/>
        </w:rPr>
        <w:t>, Parliamentary Secretary to the Minister of Innovation, Science and Industry (Innovation and Industry)</w:t>
      </w:r>
    </w:p>
    <w:p w14:paraId="2BD854C7" w14:textId="77777777" w:rsidR="00AD25E7" w:rsidRPr="00DF1828" w:rsidRDefault="00641A07" w:rsidP="00AD25E7">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Will Amos, Parliamentary Secretary to the Minister of Innovation, Science and Industry (Science)</w:t>
      </w:r>
      <w:r w:rsidR="00AD25E7">
        <w:rPr>
          <w:rFonts w:ascii="Century Gothic" w:eastAsia="Century Gothic" w:hAnsi="Century Gothic" w:cs="Century Gothic"/>
          <w:lang w:val="en-CA"/>
        </w:rPr>
        <w:br/>
      </w:r>
      <w:r w:rsidR="00AD25E7" w:rsidRPr="00DF1828">
        <w:rPr>
          <w:rFonts w:ascii="Century Gothic" w:eastAsia="Century Gothic" w:hAnsi="Century Gothic" w:cs="Century Gothic"/>
          <w:lang w:val="en-CA"/>
        </w:rPr>
        <w:t xml:space="preserve">Julie </w:t>
      </w:r>
      <w:proofErr w:type="spellStart"/>
      <w:r w:rsidR="00AD25E7" w:rsidRPr="00DF1828">
        <w:rPr>
          <w:rFonts w:ascii="Century Gothic" w:eastAsia="Century Gothic" w:hAnsi="Century Gothic" w:cs="Century Gothic"/>
          <w:lang w:val="en-CA"/>
        </w:rPr>
        <w:t>Dabrusin</w:t>
      </w:r>
      <w:proofErr w:type="spellEnd"/>
      <w:r w:rsidR="00AD25E7" w:rsidRPr="00DF1828">
        <w:rPr>
          <w:rFonts w:ascii="Century Gothic" w:eastAsia="Century Gothic" w:hAnsi="Century Gothic" w:cs="Century Gothic"/>
          <w:lang w:val="en-CA"/>
        </w:rPr>
        <w:t xml:space="preserve">, Parliamentary Secretary to the Minister of Canadian Heritage </w:t>
      </w:r>
    </w:p>
    <w:p w14:paraId="2539172F" w14:textId="19405B04" w:rsidR="00AD25E7" w:rsidRPr="00DF1828" w:rsidRDefault="00AD25E7" w:rsidP="00AD25E7">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Greg Fergus, Parliamentary Secretary to the President of the Treasury Board and to the Minister of Digital Government</w:t>
      </w:r>
      <w:r>
        <w:rPr>
          <w:rFonts w:ascii="Century Gothic" w:eastAsia="Century Gothic" w:hAnsi="Century Gothic" w:cs="Century Gothic"/>
          <w:lang w:val="en-CA"/>
        </w:rPr>
        <w:br/>
      </w:r>
      <w:r w:rsidRPr="00DF1828">
        <w:rPr>
          <w:rFonts w:ascii="Century Gothic" w:eastAsia="Century Gothic" w:hAnsi="Century Gothic" w:cs="Century Gothic"/>
          <w:lang w:val="en-CA"/>
        </w:rPr>
        <w:t>James Cumming, M.P., Edmonton Centre </w:t>
      </w:r>
      <w:r w:rsidRPr="00DF1828">
        <w:rPr>
          <w:rFonts w:ascii="Century Gothic" w:eastAsia="Century Gothic" w:hAnsi="Century Gothic" w:cs="Century Gothic"/>
          <w:lang w:val="en-CA"/>
        </w:rPr>
        <w:br/>
        <w:t xml:space="preserve">Luc Berthold, M.P., </w:t>
      </w:r>
      <w:proofErr w:type="spellStart"/>
      <w:r w:rsidRPr="00DF1828">
        <w:rPr>
          <w:rFonts w:ascii="Century Gothic" w:eastAsia="Century Gothic" w:hAnsi="Century Gothic" w:cs="Century Gothic"/>
          <w:lang w:val="en-CA"/>
        </w:rPr>
        <w:t>Mégantic</w:t>
      </w:r>
      <w:proofErr w:type="spellEnd"/>
      <w:r w:rsidRPr="00DF1828">
        <w:rPr>
          <w:rFonts w:ascii="Century Gothic" w:eastAsia="Century Gothic" w:hAnsi="Century Gothic" w:cs="Century Gothic"/>
          <w:lang w:val="en-CA"/>
        </w:rPr>
        <w:t xml:space="preserve"> – </w:t>
      </w:r>
      <w:proofErr w:type="spellStart"/>
      <w:r w:rsidRPr="00DF1828">
        <w:rPr>
          <w:rFonts w:ascii="Century Gothic" w:eastAsia="Century Gothic" w:hAnsi="Century Gothic" w:cs="Century Gothic"/>
          <w:lang w:val="en-CA"/>
        </w:rPr>
        <w:t>L’Érable</w:t>
      </w:r>
      <w:proofErr w:type="spellEnd"/>
      <w:r w:rsidRPr="00DF1828">
        <w:rPr>
          <w:rFonts w:ascii="Century Gothic" w:eastAsia="Century Gothic" w:hAnsi="Century Gothic" w:cs="Century Gothic"/>
          <w:lang w:val="en-CA"/>
        </w:rPr>
        <w:t> </w:t>
      </w:r>
      <w:r w:rsidRPr="00DF1828">
        <w:rPr>
          <w:rFonts w:ascii="Century Gothic" w:eastAsia="Century Gothic" w:hAnsi="Century Gothic" w:cs="Century Gothic"/>
          <w:lang w:val="en-CA"/>
        </w:rPr>
        <w:br/>
      </w:r>
      <w:r w:rsidRPr="00DF1828">
        <w:rPr>
          <w:rFonts w:ascii="Century Gothic" w:eastAsia="Century Gothic" w:hAnsi="Century Gothic" w:cs="Century Gothic"/>
          <w:lang w:val="en-CA"/>
        </w:rPr>
        <w:lastRenderedPageBreak/>
        <w:t>Dane Lloyd, M.P., Sturgeon River – Parkland </w:t>
      </w:r>
      <w:r>
        <w:rPr>
          <w:rFonts w:ascii="Century Gothic" w:eastAsia="Century Gothic" w:hAnsi="Century Gothic" w:cs="Century Gothic"/>
          <w:lang w:val="en-CA"/>
        </w:rPr>
        <w:br/>
      </w:r>
      <w:r w:rsidRPr="00DF1828">
        <w:rPr>
          <w:rFonts w:ascii="Century Gothic" w:eastAsia="Century Gothic" w:hAnsi="Century Gothic" w:cs="Century Gothic"/>
          <w:lang w:val="en-CA"/>
        </w:rPr>
        <w:t>Sébastien Lemire, M.P., Abitibi—</w:t>
      </w:r>
      <w:proofErr w:type="spellStart"/>
      <w:r w:rsidRPr="00DF1828">
        <w:rPr>
          <w:rFonts w:ascii="Century Gothic" w:eastAsia="Century Gothic" w:hAnsi="Century Gothic" w:cs="Century Gothic"/>
          <w:lang w:val="en-CA"/>
        </w:rPr>
        <w:t>Témiscamingue</w:t>
      </w:r>
      <w:proofErr w:type="spellEnd"/>
      <w:r w:rsidRPr="00DF1828">
        <w:rPr>
          <w:rFonts w:ascii="Century Gothic" w:eastAsia="Century Gothic" w:hAnsi="Century Gothic" w:cs="Century Gothic"/>
          <w:lang w:val="en-CA"/>
        </w:rPr>
        <w:t> </w:t>
      </w:r>
      <w:r>
        <w:rPr>
          <w:rFonts w:ascii="Century Gothic" w:eastAsia="Century Gothic" w:hAnsi="Century Gothic" w:cs="Century Gothic"/>
          <w:lang w:val="en-CA"/>
        </w:rPr>
        <w:br/>
      </w:r>
      <w:r w:rsidRPr="00DF1828">
        <w:rPr>
          <w:rFonts w:ascii="Century Gothic" w:eastAsia="Century Gothic" w:hAnsi="Century Gothic" w:cs="Century Gothic"/>
          <w:lang w:val="en-CA"/>
        </w:rPr>
        <w:t>Gabriel Ste-Marie, M.P., Joliette </w:t>
      </w:r>
      <w:r>
        <w:rPr>
          <w:rFonts w:ascii="Century Gothic" w:eastAsia="Century Gothic" w:hAnsi="Century Gothic" w:cs="Century Gothic"/>
          <w:lang w:val="en-CA"/>
        </w:rPr>
        <w:br/>
      </w:r>
      <w:r w:rsidRPr="00DF1828">
        <w:rPr>
          <w:rFonts w:ascii="Century Gothic" w:eastAsia="Century Gothic" w:hAnsi="Century Gothic" w:cs="Century Gothic"/>
          <w:lang w:val="en-CA"/>
        </w:rPr>
        <w:t>Brian Masse, M.P., Windsor West </w:t>
      </w:r>
      <w:r>
        <w:rPr>
          <w:rFonts w:ascii="Century Gothic" w:eastAsia="Century Gothic" w:hAnsi="Century Gothic" w:cs="Century Gothic"/>
          <w:lang w:val="en-CA"/>
        </w:rPr>
        <w:br/>
      </w:r>
      <w:r w:rsidRPr="00DF1828">
        <w:rPr>
          <w:rFonts w:ascii="Century Gothic" w:eastAsia="Century Gothic" w:hAnsi="Century Gothic" w:cs="Century Gothic"/>
          <w:lang w:val="en-CA"/>
        </w:rPr>
        <w:t>Matthew Green, M.P., Hamilton Centre  </w:t>
      </w:r>
    </w:p>
    <w:p w14:paraId="408C4050" w14:textId="6A0AB3FA" w:rsidR="00AD25E7" w:rsidRPr="00DF1828" w:rsidRDefault="00641A07" w:rsidP="00AD25E7">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Rick Theis</w:t>
      </w:r>
      <w:r>
        <w:rPr>
          <w:rFonts w:ascii="Century Gothic" w:eastAsia="Century Gothic" w:hAnsi="Century Gothic" w:cs="Century Gothic"/>
          <w:lang w:val="en-CA"/>
        </w:rPr>
        <w:t>,</w:t>
      </w:r>
      <w:r w:rsidRPr="00DF1828">
        <w:rPr>
          <w:rFonts w:ascii="Century Gothic" w:eastAsia="Century Gothic" w:hAnsi="Century Gothic" w:cs="Century Gothic"/>
          <w:lang w:val="en-CA"/>
        </w:rPr>
        <w:t xml:space="preserve"> Director of Policy and Cabinet Affairs, Prime Minister’s Offic</w:t>
      </w:r>
      <w:r>
        <w:rPr>
          <w:rFonts w:ascii="Century Gothic" w:eastAsia="Century Gothic" w:hAnsi="Century Gothic" w:cs="Century Gothic"/>
          <w:lang w:val="en-CA"/>
        </w:rPr>
        <w:t>e</w:t>
      </w:r>
      <w:r w:rsidR="00AD25E7">
        <w:rPr>
          <w:rFonts w:ascii="Century Gothic" w:eastAsia="Century Gothic" w:hAnsi="Century Gothic" w:cs="Century Gothic"/>
          <w:lang w:val="en-CA"/>
        </w:rPr>
        <w:br/>
      </w:r>
      <w:r w:rsidR="00AD25E7" w:rsidRPr="00DF1828">
        <w:rPr>
          <w:rFonts w:ascii="Century Gothic" w:eastAsia="Century Gothic" w:hAnsi="Century Gothic" w:cs="Century Gothic"/>
          <w:lang w:val="en-CA"/>
        </w:rPr>
        <w:t xml:space="preserve">Marci </w:t>
      </w:r>
      <w:proofErr w:type="spellStart"/>
      <w:r w:rsidR="00AD25E7" w:rsidRPr="00DF1828">
        <w:rPr>
          <w:rFonts w:ascii="Century Gothic" w:eastAsia="Century Gothic" w:hAnsi="Century Gothic" w:cs="Century Gothic"/>
          <w:lang w:val="en-CA"/>
        </w:rPr>
        <w:t>Surkes</w:t>
      </w:r>
      <w:proofErr w:type="spellEnd"/>
      <w:r w:rsidR="00AD25E7" w:rsidRPr="00DF1828">
        <w:rPr>
          <w:rFonts w:ascii="Century Gothic" w:eastAsia="Century Gothic" w:hAnsi="Century Gothic" w:cs="Century Gothic"/>
          <w:lang w:val="en-CA"/>
        </w:rPr>
        <w:t>, Executive Director, Policy and Cabinet Affairs, Office of the Prime Minister</w:t>
      </w:r>
    </w:p>
    <w:p w14:paraId="68832E0E" w14:textId="77777777" w:rsidR="00AD25E7" w:rsidRPr="00DF1828" w:rsidRDefault="00AD25E7" w:rsidP="00AD25E7">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Dominic Cormier, Senior Policy Advisor, Policy and Cabinet Affairs, Office of the Prime Minister</w:t>
      </w:r>
      <w:r>
        <w:rPr>
          <w:rFonts w:ascii="Century Gothic" w:eastAsia="Century Gothic" w:hAnsi="Century Gothic" w:cs="Century Gothic"/>
          <w:lang w:val="en-CA"/>
        </w:rPr>
        <w:br/>
      </w:r>
      <w:r w:rsidRPr="00DF1828">
        <w:rPr>
          <w:rFonts w:ascii="Century Gothic" w:eastAsia="Century Gothic" w:hAnsi="Century Gothic" w:cs="Century Gothic"/>
          <w:lang w:val="en-CA"/>
        </w:rPr>
        <w:t xml:space="preserve">Sarah </w:t>
      </w:r>
      <w:proofErr w:type="spellStart"/>
      <w:r w:rsidRPr="00DF1828">
        <w:rPr>
          <w:rFonts w:ascii="Century Gothic" w:eastAsia="Century Gothic" w:hAnsi="Century Gothic" w:cs="Century Gothic"/>
          <w:lang w:val="en-CA"/>
        </w:rPr>
        <w:t>Hussaini</w:t>
      </w:r>
      <w:proofErr w:type="spellEnd"/>
      <w:r>
        <w:rPr>
          <w:rFonts w:ascii="Century Gothic" w:eastAsia="Century Gothic" w:hAnsi="Century Gothic" w:cs="Century Gothic"/>
          <w:lang w:val="en-CA"/>
        </w:rPr>
        <w:t xml:space="preserve">, </w:t>
      </w:r>
      <w:r w:rsidRPr="00DF1828">
        <w:rPr>
          <w:rFonts w:ascii="Century Gothic" w:eastAsia="Century Gothic" w:hAnsi="Century Gothic" w:cs="Century Gothic"/>
          <w:lang w:val="en-CA"/>
        </w:rPr>
        <w:t>Director of Policy, Minister of Innovation, Science and Industry</w:t>
      </w:r>
      <w:r>
        <w:rPr>
          <w:rFonts w:ascii="Century Gothic" w:eastAsia="Century Gothic" w:hAnsi="Century Gothic" w:cs="Century Gothic"/>
          <w:lang w:val="en-CA"/>
        </w:rPr>
        <w:br/>
      </w:r>
      <w:r w:rsidRPr="00DF1828">
        <w:rPr>
          <w:rFonts w:ascii="Century Gothic" w:eastAsia="Century Gothic" w:hAnsi="Century Gothic" w:cs="Century Gothic"/>
          <w:lang w:val="en-CA"/>
        </w:rPr>
        <w:t>Rebecca Caldwell</w:t>
      </w:r>
      <w:r>
        <w:rPr>
          <w:rFonts w:ascii="Century Gothic" w:eastAsia="Century Gothic" w:hAnsi="Century Gothic" w:cs="Century Gothic"/>
          <w:lang w:val="en-CA"/>
        </w:rPr>
        <w:t xml:space="preserve">, </w:t>
      </w:r>
      <w:r w:rsidRPr="00DF1828">
        <w:rPr>
          <w:rFonts w:ascii="Century Gothic" w:eastAsia="Century Gothic" w:hAnsi="Century Gothic" w:cs="Century Gothic"/>
          <w:lang w:val="en-CA"/>
        </w:rPr>
        <w:t>Director of Policy, Minister of Canadian Heritag</w:t>
      </w:r>
      <w:r>
        <w:rPr>
          <w:rFonts w:ascii="Century Gothic" w:eastAsia="Century Gothic" w:hAnsi="Century Gothic" w:cs="Century Gothic"/>
          <w:lang w:val="en-CA"/>
        </w:rPr>
        <w:t>e</w:t>
      </w:r>
    </w:p>
    <w:p w14:paraId="0B8AC7E0" w14:textId="77777777" w:rsidR="00AD25E7" w:rsidRPr="00DF1828" w:rsidRDefault="00AD25E7" w:rsidP="00AD25E7">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 xml:space="preserve">Dylan </w:t>
      </w:r>
      <w:proofErr w:type="spellStart"/>
      <w:r w:rsidRPr="00DF1828">
        <w:rPr>
          <w:rFonts w:ascii="Century Gothic" w:eastAsia="Century Gothic" w:hAnsi="Century Gothic" w:cs="Century Gothic"/>
          <w:lang w:val="en-CA"/>
        </w:rPr>
        <w:t>Marando</w:t>
      </w:r>
      <w:proofErr w:type="spellEnd"/>
      <w:r w:rsidRPr="00DF1828">
        <w:rPr>
          <w:rFonts w:ascii="Century Gothic" w:eastAsia="Century Gothic" w:hAnsi="Century Gothic" w:cs="Century Gothic"/>
          <w:lang w:val="en-CA"/>
        </w:rPr>
        <w:t xml:space="preserve">, Director of Policy, Treasury Board of Canada Secretariat, President's Office </w:t>
      </w:r>
    </w:p>
    <w:p w14:paraId="3D027F08" w14:textId="1521EE93" w:rsidR="00641A07" w:rsidRPr="00DF1828" w:rsidRDefault="00641A07" w:rsidP="00641A07">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Lambert Lorraine</w:t>
      </w:r>
      <w:r>
        <w:rPr>
          <w:rFonts w:ascii="Century Gothic" w:eastAsia="Century Gothic" w:hAnsi="Century Gothic" w:cs="Century Gothic"/>
          <w:lang w:val="en-CA"/>
        </w:rPr>
        <w:t xml:space="preserve">, </w:t>
      </w:r>
      <w:r w:rsidRPr="00DF1828">
        <w:rPr>
          <w:rFonts w:ascii="Century Gothic" w:eastAsia="Century Gothic" w:hAnsi="Century Gothic" w:cs="Century Gothic"/>
          <w:lang w:val="en-CA"/>
        </w:rPr>
        <w:t>Policy Advisor, Minister of Innovation, Science and Industry</w:t>
      </w:r>
    </w:p>
    <w:p w14:paraId="41179ACF" w14:textId="46F9C15A" w:rsidR="00641A07" w:rsidRPr="00DF1828" w:rsidRDefault="00641A07" w:rsidP="00641A07">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Maxence Bernier</w:t>
      </w:r>
      <w:r w:rsidR="00AD25E7">
        <w:rPr>
          <w:rFonts w:ascii="Century Gothic" w:eastAsia="Century Gothic" w:hAnsi="Century Gothic" w:cs="Century Gothic"/>
          <w:lang w:val="en-CA"/>
        </w:rPr>
        <w:t xml:space="preserve">, </w:t>
      </w:r>
      <w:r w:rsidRPr="00DF1828">
        <w:rPr>
          <w:rFonts w:ascii="Century Gothic" w:eastAsia="Century Gothic" w:hAnsi="Century Gothic" w:cs="Century Gothic"/>
          <w:lang w:val="en-CA"/>
        </w:rPr>
        <w:t>Senior Policy Advisor, Minister of Canadian Heritage</w:t>
      </w:r>
    </w:p>
    <w:p w14:paraId="43C9B883" w14:textId="77777777" w:rsidR="00641A07" w:rsidRPr="00DF1828" w:rsidRDefault="00641A07" w:rsidP="00641A07">
      <w:pPr>
        <w:spacing w:after="0" w:line="240" w:lineRule="auto"/>
        <w:rPr>
          <w:rFonts w:ascii="Century Gothic" w:eastAsia="Century Gothic" w:hAnsi="Century Gothic" w:cs="Century Gothic"/>
          <w:lang w:val="en-CA"/>
        </w:rPr>
      </w:pPr>
      <w:r w:rsidRPr="00DF1828">
        <w:rPr>
          <w:rFonts w:ascii="Century Gothic" w:eastAsia="Century Gothic" w:hAnsi="Century Gothic" w:cs="Century Gothic"/>
          <w:lang w:val="en-CA"/>
        </w:rPr>
        <w:t>Fred Lagrandeur, Senior Policy Advisor, Office of the Minister of Canadian Heritage</w:t>
      </w:r>
    </w:p>
    <w:p w14:paraId="795B576E" w14:textId="54F05FD3" w:rsidR="00641A07" w:rsidRPr="00DF1828" w:rsidRDefault="00641A07" w:rsidP="00641A07">
      <w:pPr>
        <w:spacing w:before="120"/>
        <w:rPr>
          <w:rFonts w:ascii="Century Gothic" w:eastAsia="Century Gothic" w:hAnsi="Century Gothic" w:cs="Century Gothic"/>
          <w:lang w:val="en-CA"/>
        </w:rPr>
      </w:pPr>
    </w:p>
    <w:p w14:paraId="50FCA4E0" w14:textId="63B2BF37" w:rsidR="005F7F19" w:rsidRPr="00641A07" w:rsidRDefault="00641A07" w:rsidP="004B117A">
      <w:pPr>
        <w:spacing w:before="120"/>
        <w:rPr>
          <w:rFonts w:ascii="Century Gothic" w:eastAsia="Century Gothic" w:hAnsi="Century Gothic" w:cs="Century Gothic"/>
          <w:b/>
          <w:bCs/>
          <w:lang w:val="en-CA"/>
        </w:rPr>
      </w:pPr>
      <w:r w:rsidRPr="00641A07">
        <w:rPr>
          <w:rFonts w:ascii="Century Gothic" w:eastAsia="Century Gothic" w:hAnsi="Century Gothic" w:cs="Century Gothic"/>
          <w:b/>
          <w:bCs/>
          <w:lang w:val="en-CA"/>
        </w:rPr>
        <w:t>About CFLA-FCAB</w:t>
      </w:r>
    </w:p>
    <w:p w14:paraId="7AE023C8" w14:textId="4DB262AD" w:rsidR="00641A07" w:rsidRPr="00641A07" w:rsidRDefault="00641A07" w:rsidP="00641A07">
      <w:pPr>
        <w:spacing w:after="0" w:line="240" w:lineRule="auto"/>
        <w:ind w:left="567" w:right="571"/>
        <w:jc w:val="both"/>
        <w:rPr>
          <w:rFonts w:ascii="Century Gothic" w:eastAsia="Times New Roman" w:hAnsi="Century Gothic"/>
        </w:rPr>
      </w:pPr>
      <w:bookmarkStart w:id="1" w:name="_heading=h.gjdgxs" w:colFirst="0" w:colLast="0"/>
      <w:bookmarkEnd w:id="1"/>
      <w:r w:rsidRPr="00641A07">
        <w:rPr>
          <w:rFonts w:ascii="Century Gothic" w:eastAsia="Times New Roman" w:hAnsi="Century Gothic"/>
        </w:rPr>
        <w:t xml:space="preserve">The Canadian Federation of Library Associations/Fédération Canadienne des associations de </w:t>
      </w:r>
      <w:proofErr w:type="spellStart"/>
      <w:r w:rsidRPr="00641A07">
        <w:rPr>
          <w:rFonts w:ascii="Century Gothic" w:eastAsia="Times New Roman" w:hAnsi="Century Gothic"/>
        </w:rPr>
        <w:t>bibliothèques</w:t>
      </w:r>
      <w:proofErr w:type="spellEnd"/>
      <w:r w:rsidRPr="00641A07">
        <w:rPr>
          <w:rFonts w:ascii="Century Gothic" w:eastAsia="Times New Roman" w:hAnsi="Century Gothic"/>
        </w:rPr>
        <w:t xml:space="preserve"> (CFLA-FCAB) is the national voice of Canada’s library associations. Our purpose is to advance library excellence in Canada, champion library values and the value of libraries and influence national and international public policy impacting libraries and their communities. </w:t>
      </w:r>
    </w:p>
    <w:p w14:paraId="03C99F9A" w14:textId="5B5E8A07" w:rsidR="00641A07" w:rsidRDefault="00641A07" w:rsidP="00641A07">
      <w:pPr>
        <w:spacing w:after="0" w:line="240" w:lineRule="auto"/>
        <w:ind w:right="571"/>
        <w:jc w:val="both"/>
        <w:rPr>
          <w:rFonts w:ascii="Century Gothic" w:eastAsia="Times New Roman" w:hAnsi="Century Gothic"/>
          <w:i/>
          <w:iCs/>
        </w:rPr>
      </w:pPr>
    </w:p>
    <w:p w14:paraId="54E221B5" w14:textId="1F2BCB88" w:rsidR="00641A07" w:rsidRPr="00641A07" w:rsidRDefault="00641A07" w:rsidP="00641A07">
      <w:pPr>
        <w:spacing w:after="0" w:line="240" w:lineRule="auto"/>
        <w:ind w:right="571"/>
        <w:jc w:val="both"/>
        <w:rPr>
          <w:rFonts w:ascii="Century Gothic" w:eastAsia="Times New Roman" w:hAnsi="Century Gothic"/>
          <w:b/>
          <w:bCs/>
        </w:rPr>
      </w:pPr>
      <w:r>
        <w:rPr>
          <w:rFonts w:ascii="Century Gothic" w:eastAsia="Times New Roman" w:hAnsi="Century Gothic"/>
          <w:b/>
          <w:bCs/>
        </w:rPr>
        <w:t>About CARL</w:t>
      </w:r>
    </w:p>
    <w:p w14:paraId="68FC98CE" w14:textId="77777777" w:rsidR="00641A07" w:rsidRPr="00641A07" w:rsidRDefault="00641A07" w:rsidP="00641A07">
      <w:pPr>
        <w:spacing w:before="120"/>
        <w:ind w:left="567" w:right="571"/>
        <w:jc w:val="both"/>
        <w:rPr>
          <w:rFonts w:ascii="Century Gothic" w:eastAsia="Century Gothic" w:hAnsi="Century Gothic" w:cs="Century Gothic"/>
          <w:lang w:val="en"/>
        </w:rPr>
      </w:pPr>
      <w:r w:rsidRPr="00641A07">
        <w:rPr>
          <w:rFonts w:ascii="Century Gothic" w:eastAsia="Century Gothic" w:hAnsi="Century Gothic" w:cs="Century Gothic"/>
          <w:lang w:val="en"/>
        </w:rPr>
        <w:t xml:space="preserve">CARL is the voice of Canada’s research libraries. Our members include Canada’s twenty-nine largest university libraries and two federal institutions. CARL enhances its members’ capacity to advance research and higher education; promotes effective and sustainable knowledge creation, dissemination, and preservation; and advocates for public policy that enables broad access to scholarly information. CARL’s two federal member institutions contribute to Canada’s research enterprise and collaborate in coordinated </w:t>
      </w:r>
      <w:r w:rsidRPr="00641A07">
        <w:rPr>
          <w:rFonts w:ascii="Century Gothic" w:eastAsia="Century Gothic" w:hAnsi="Century Gothic" w:cs="Century Gothic"/>
        </w:rPr>
        <w:t>efforts</w:t>
      </w:r>
      <w:r w:rsidRPr="00641A07">
        <w:rPr>
          <w:rFonts w:ascii="Century Gothic" w:eastAsia="Century Gothic" w:hAnsi="Century Gothic" w:cs="Century Gothic"/>
          <w:lang w:val="en"/>
        </w:rPr>
        <w:t xml:space="preserve"> with the academic library community, but do not engage in CARL’s federal advocacy. </w:t>
      </w:r>
    </w:p>
    <w:p w14:paraId="5751E975" w14:textId="3D7F0A13" w:rsidR="00143DBE" w:rsidRPr="005F7F19" w:rsidRDefault="00143DBE" w:rsidP="004B117A">
      <w:pPr>
        <w:rPr>
          <w:rFonts w:ascii="Century Gothic" w:eastAsia="Century Gothic" w:hAnsi="Century Gothic" w:cs="Century Gothic"/>
          <w:sz w:val="24"/>
          <w:szCs w:val="24"/>
          <w:lang w:val="en-CA"/>
        </w:rPr>
      </w:pPr>
    </w:p>
    <w:sectPr w:rsidR="00143DBE" w:rsidRPr="005F7F19">
      <w:head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89D28" w14:textId="77777777" w:rsidR="00BD3210" w:rsidRDefault="00BD3210">
      <w:pPr>
        <w:spacing w:after="0" w:line="240" w:lineRule="auto"/>
      </w:pPr>
      <w:r>
        <w:separator/>
      </w:r>
    </w:p>
  </w:endnote>
  <w:endnote w:type="continuationSeparator" w:id="0">
    <w:p w14:paraId="39D0285B" w14:textId="77777777" w:rsidR="00BD3210" w:rsidRDefault="00BD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32BB9" w14:textId="77777777" w:rsidR="00BD3210" w:rsidRDefault="00BD3210">
      <w:pPr>
        <w:spacing w:after="0" w:line="240" w:lineRule="auto"/>
      </w:pPr>
      <w:bookmarkStart w:id="0" w:name="_Hlk50017535"/>
      <w:bookmarkEnd w:id="0"/>
      <w:r>
        <w:separator/>
      </w:r>
    </w:p>
  </w:footnote>
  <w:footnote w:type="continuationSeparator" w:id="0">
    <w:p w14:paraId="06B4592A" w14:textId="77777777" w:rsidR="00BD3210" w:rsidRDefault="00BD3210">
      <w:pPr>
        <w:spacing w:after="0" w:line="240" w:lineRule="auto"/>
      </w:pPr>
      <w:r>
        <w:continuationSeparator/>
      </w:r>
    </w:p>
  </w:footnote>
  <w:footnote w:id="1">
    <w:p w14:paraId="5F5A3804" w14:textId="77777777" w:rsidR="004B117A" w:rsidRDefault="004B117A" w:rsidP="004B117A">
      <w:pPr>
        <w:spacing w:line="240" w:lineRule="auto"/>
        <w:rPr>
          <w:sz w:val="20"/>
          <w:szCs w:val="20"/>
        </w:rPr>
      </w:pPr>
      <w:r>
        <w:rPr>
          <w:vertAlign w:val="superscript"/>
        </w:rPr>
        <w:footnoteRef/>
      </w:r>
      <w:r>
        <w:rPr>
          <w:sz w:val="20"/>
          <w:szCs w:val="20"/>
        </w:rPr>
        <w:t xml:space="preserve"> </w:t>
      </w:r>
      <w:r>
        <w:t xml:space="preserve"> </w:t>
      </w:r>
      <w:r>
        <w:rPr>
          <w:sz w:val="20"/>
          <w:szCs w:val="20"/>
        </w:rPr>
        <w:t xml:space="preserve">As with other jurisdictions, the Creative Commons Attribution </w:t>
      </w:r>
      <w:proofErr w:type="spellStart"/>
      <w:r>
        <w:rPr>
          <w:sz w:val="20"/>
          <w:szCs w:val="20"/>
        </w:rPr>
        <w:t>licence</w:t>
      </w:r>
      <w:proofErr w:type="spellEnd"/>
      <w:r>
        <w:rPr>
          <w:sz w:val="20"/>
          <w:szCs w:val="20"/>
        </w:rPr>
        <w:t xml:space="preserve"> (CC BY) as a default </w:t>
      </w:r>
      <w:proofErr w:type="spellStart"/>
      <w:r>
        <w:rPr>
          <w:sz w:val="20"/>
          <w:szCs w:val="20"/>
        </w:rPr>
        <w:t>licence</w:t>
      </w:r>
      <w:proofErr w:type="spellEnd"/>
      <w:r>
        <w:rPr>
          <w:sz w:val="20"/>
          <w:szCs w:val="20"/>
        </w:rPr>
        <w:t xml:space="preserve"> should be suitable in the majority of cases, with exceptions as needed for the Creative Commons Attribution Noncommercial </w:t>
      </w:r>
      <w:proofErr w:type="spellStart"/>
      <w:r>
        <w:rPr>
          <w:sz w:val="20"/>
          <w:szCs w:val="20"/>
        </w:rPr>
        <w:t>licence</w:t>
      </w:r>
      <w:proofErr w:type="spellEnd"/>
      <w:r>
        <w:rPr>
          <w:sz w:val="20"/>
          <w:szCs w:val="20"/>
        </w:rPr>
        <w:t xml:space="preserve"> (CC BY NC) and the appropriate application of Indigenous knowledge protocols. </w:t>
      </w:r>
    </w:p>
  </w:footnote>
  <w:footnote w:id="2">
    <w:p w14:paraId="2323D542" w14:textId="77777777" w:rsidR="004B117A" w:rsidRDefault="004B117A" w:rsidP="004B117A">
      <w:pPr>
        <w:spacing w:line="240" w:lineRule="auto"/>
        <w:rPr>
          <w:sz w:val="20"/>
          <w:szCs w:val="20"/>
        </w:rPr>
      </w:pPr>
      <w:r>
        <w:rPr>
          <w:vertAlign w:val="superscript"/>
        </w:rPr>
        <w:footnoteRef/>
      </w:r>
      <w:r>
        <w:rPr>
          <w:sz w:val="20"/>
          <w:szCs w:val="20"/>
        </w:rPr>
        <w:t xml:space="preserve"> </w:t>
      </w:r>
      <w:proofErr w:type="spellStart"/>
      <w:r>
        <w:rPr>
          <w:sz w:val="20"/>
          <w:szCs w:val="20"/>
        </w:rPr>
        <w:t>Keatley</w:t>
      </w:r>
      <w:proofErr w:type="spellEnd"/>
      <w:r>
        <w:rPr>
          <w:sz w:val="20"/>
          <w:szCs w:val="20"/>
        </w:rPr>
        <w:t xml:space="preserve"> Surveying Ltd. v. </w:t>
      </w:r>
      <w:proofErr w:type="spellStart"/>
      <w:r>
        <w:rPr>
          <w:sz w:val="20"/>
          <w:szCs w:val="20"/>
        </w:rPr>
        <w:t>Teranet</w:t>
      </w:r>
      <w:proofErr w:type="spellEnd"/>
      <w:r>
        <w:rPr>
          <w:sz w:val="20"/>
          <w:szCs w:val="20"/>
        </w:rPr>
        <w:t xml:space="preserve"> Inc. 2019 SCC 43. </w:t>
      </w:r>
      <w:hyperlink r:id="rId1">
        <w:r>
          <w:rPr>
            <w:color w:val="1155CC"/>
            <w:sz w:val="20"/>
            <w:szCs w:val="20"/>
            <w:u w:val="single"/>
          </w:rPr>
          <w:t>https://www.scc-csc.ca/case-dossier/cb/2019/37863-eng.aspx</w:t>
        </w:r>
      </w:hyperlink>
      <w:r>
        <w:rPr>
          <w:sz w:val="20"/>
          <w:szCs w:val="20"/>
        </w:rPr>
        <w:t>.</w:t>
      </w:r>
    </w:p>
  </w:footnote>
  <w:footnote w:id="3">
    <w:p w14:paraId="488F8D38" w14:textId="3ABB6129" w:rsidR="004B117A" w:rsidRDefault="004B117A" w:rsidP="005B5B55">
      <w:pPr>
        <w:spacing w:line="240" w:lineRule="auto"/>
        <w:rPr>
          <w:sz w:val="20"/>
          <w:szCs w:val="20"/>
        </w:rPr>
      </w:pPr>
      <w:r>
        <w:rPr>
          <w:vertAlign w:val="superscript"/>
        </w:rPr>
        <w:footnoteRef/>
      </w:r>
      <w:r>
        <w:rPr>
          <w:sz w:val="20"/>
          <w:szCs w:val="20"/>
        </w:rPr>
        <w:t xml:space="preserve"> Parliament of Canada. Standing Committee on Industry, Science and Technology. Statutory Review of the </w:t>
      </w:r>
      <w:r>
        <w:rPr>
          <w:i/>
          <w:sz w:val="20"/>
          <w:szCs w:val="20"/>
        </w:rPr>
        <w:t>Copyright Act</w:t>
      </w:r>
      <w:r>
        <w:rPr>
          <w:sz w:val="20"/>
          <w:szCs w:val="20"/>
        </w:rPr>
        <w:t xml:space="preserve">. June 2019. </w:t>
      </w:r>
      <w:hyperlink r:id="rId2">
        <w:r>
          <w:rPr>
            <w:color w:val="1155CC"/>
            <w:sz w:val="20"/>
            <w:szCs w:val="20"/>
            <w:u w:val="single"/>
          </w:rPr>
          <w:t>https://www.ourcommons.ca/DocumentViewer/en/42-1/INDU/report-16/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4865" w14:textId="7478C616" w:rsidR="00143DBE" w:rsidRDefault="00875D51">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CFLA-FCAB</w:t>
    </w:r>
    <w:r w:rsidR="007D225C">
      <w:rPr>
        <w:rFonts w:ascii="Century Gothic" w:eastAsia="Century Gothic" w:hAnsi="Century Gothic" w:cs="Century Gothic"/>
        <w:sz w:val="20"/>
        <w:szCs w:val="20"/>
      </w:rPr>
      <w:t xml:space="preserve"> Crown Copyright Letter</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separate"/>
    </w:r>
    <w:r w:rsidR="004B117A">
      <w:rPr>
        <w:rFonts w:ascii="Century Gothic" w:eastAsia="Century Gothic" w:hAnsi="Century Gothic" w:cs="Century Gothic"/>
        <w:noProof/>
        <w:color w:val="000000"/>
        <w:sz w:val="20"/>
        <w:szCs w:val="20"/>
      </w:rPr>
      <w:t>2</w:t>
    </w:r>
    <w:r>
      <w:rPr>
        <w:rFonts w:ascii="Century Gothic" w:eastAsia="Century Gothic" w:hAnsi="Century Gothic" w:cs="Century Gothic"/>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CDB0" w14:textId="404C46B8" w:rsidR="00143DBE" w:rsidRDefault="00641A07">
    <w:pPr>
      <w:pBdr>
        <w:top w:val="nil"/>
        <w:left w:val="nil"/>
        <w:bottom w:val="nil"/>
        <w:right w:val="nil"/>
        <w:between w:val="nil"/>
      </w:pBdr>
      <w:tabs>
        <w:tab w:val="center" w:pos="4680"/>
        <w:tab w:val="right" w:pos="9360"/>
      </w:tabs>
      <w:spacing w:after="0" w:line="240" w:lineRule="auto"/>
      <w:jc w:val="center"/>
      <w:rPr>
        <w:color w:val="000000"/>
      </w:rPr>
    </w:pPr>
    <w:r>
      <w:rPr>
        <w:rFonts w:ascii="Century Gothic" w:eastAsia="Century Gothic" w:hAnsi="Century Gothic" w:cs="Century Gothic"/>
        <w:b/>
        <w:noProof/>
        <w:color w:val="7F7F7F"/>
        <w:sz w:val="26"/>
        <w:szCs w:val="26"/>
      </w:rPr>
      <w:drawing>
        <wp:anchor distT="0" distB="0" distL="114300" distR="114300" simplePos="0" relativeHeight="251660288" behindDoc="1" locked="0" layoutInCell="1" allowOverlap="1" wp14:anchorId="2678A32D" wp14:editId="34FCFCBA">
          <wp:simplePos x="0" y="0"/>
          <wp:positionH relativeFrom="column">
            <wp:posOffset>3933825</wp:posOffset>
          </wp:positionH>
          <wp:positionV relativeFrom="paragraph">
            <wp:posOffset>-116840</wp:posOffset>
          </wp:positionV>
          <wp:extent cx="1790700" cy="69881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98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cs="Century Gothic"/>
        <w:b/>
        <w:noProof/>
        <w:color w:val="7F7F7F"/>
      </w:rPr>
      <w:drawing>
        <wp:anchor distT="0" distB="0" distL="114300" distR="114300" simplePos="0" relativeHeight="251658240" behindDoc="0" locked="0" layoutInCell="1" hidden="0" allowOverlap="1" wp14:anchorId="49DBCF82" wp14:editId="776B772E">
          <wp:simplePos x="0" y="0"/>
          <wp:positionH relativeFrom="margin">
            <wp:posOffset>114300</wp:posOffset>
          </wp:positionH>
          <wp:positionV relativeFrom="topMargin">
            <wp:posOffset>342900</wp:posOffset>
          </wp:positionV>
          <wp:extent cx="3248025" cy="676910"/>
          <wp:effectExtent l="0" t="0" r="9525" b="889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248025" cy="676910"/>
                  </a:xfrm>
                  <a:prstGeom prst="rect">
                    <a:avLst/>
                  </a:prstGeom>
                  <a:ln/>
                </pic:spPr>
              </pic:pic>
            </a:graphicData>
          </a:graphic>
          <wp14:sizeRelH relativeFrom="margin">
            <wp14:pctWidth>0</wp14:pctWidth>
          </wp14:sizeRelH>
          <wp14:sizeRelV relativeFrom="margin">
            <wp14:pctHeight>0</wp14:pctHeight>
          </wp14:sizeRelV>
        </wp:anchor>
      </w:drawing>
    </w:r>
  </w:p>
  <w:p w14:paraId="08ACCB5B" w14:textId="77777777" w:rsidR="00143DBE" w:rsidRDefault="00143DBE">
    <w:pPr>
      <w:pBdr>
        <w:top w:val="nil"/>
        <w:left w:val="nil"/>
        <w:bottom w:val="nil"/>
        <w:right w:val="nil"/>
        <w:between w:val="nil"/>
      </w:pBdr>
      <w:tabs>
        <w:tab w:val="center" w:pos="4680"/>
        <w:tab w:val="right" w:pos="9360"/>
      </w:tabs>
      <w:spacing w:after="0" w:line="240" w:lineRule="auto"/>
      <w:jc w:val="center"/>
      <w:rPr>
        <w:color w:val="000000"/>
      </w:rPr>
    </w:pPr>
  </w:p>
  <w:p w14:paraId="6802238B" w14:textId="37CD141A" w:rsidR="00143DBE" w:rsidRDefault="00143DBE">
    <w:pPr>
      <w:pBdr>
        <w:top w:val="nil"/>
        <w:left w:val="nil"/>
        <w:bottom w:val="nil"/>
        <w:right w:val="nil"/>
        <w:between w:val="nil"/>
      </w:pBdr>
      <w:tabs>
        <w:tab w:val="center" w:pos="4680"/>
        <w:tab w:val="right" w:pos="9360"/>
      </w:tabs>
      <w:spacing w:after="0" w:line="240" w:lineRule="auto"/>
      <w:jc w:val="center"/>
      <w:rPr>
        <w:color w:val="000000"/>
      </w:rPr>
    </w:pPr>
  </w:p>
  <w:p w14:paraId="351A8242" w14:textId="7860961E" w:rsidR="00143DBE" w:rsidRDefault="00143DBE">
    <w:pPr>
      <w:pBdr>
        <w:top w:val="nil"/>
        <w:left w:val="nil"/>
        <w:bottom w:val="nil"/>
        <w:right w:val="nil"/>
        <w:between w:val="nil"/>
      </w:pBdr>
      <w:tabs>
        <w:tab w:val="center" w:pos="4680"/>
        <w:tab w:val="right" w:pos="9360"/>
      </w:tabs>
      <w:spacing w:after="0" w:line="240" w:lineRule="auto"/>
      <w:rPr>
        <w:color w:val="000000"/>
        <w:sz w:val="26"/>
        <w:szCs w:val="26"/>
      </w:rPr>
    </w:pPr>
  </w:p>
  <w:p w14:paraId="13B44532" w14:textId="7FE70AEE" w:rsidR="00143DBE" w:rsidRDefault="00875D5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7902C3C6" wp14:editId="7A1D8D78">
              <wp:simplePos x="0" y="0"/>
              <wp:positionH relativeFrom="column">
                <wp:posOffset>1</wp:posOffset>
              </wp:positionH>
              <wp:positionV relativeFrom="paragraph">
                <wp:posOffset>127000</wp:posOffset>
              </wp:positionV>
              <wp:extent cx="5943600" cy="15875"/>
              <wp:effectExtent l="0" t="0" r="0" b="0"/>
              <wp:wrapNone/>
              <wp:docPr id="7" name="Straight Arrow Connector 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587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943600" cy="15875"/>
              <wp:effectExtent b="0" l="0" r="0" t="0"/>
              <wp:wrapNone/>
              <wp:docPr id="7"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943600" cy="1587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BE"/>
    <w:rsid w:val="00052F66"/>
    <w:rsid w:val="00143DBE"/>
    <w:rsid w:val="0030552F"/>
    <w:rsid w:val="00315E13"/>
    <w:rsid w:val="004B117A"/>
    <w:rsid w:val="005B5B55"/>
    <w:rsid w:val="005D182E"/>
    <w:rsid w:val="005F7F19"/>
    <w:rsid w:val="00641A07"/>
    <w:rsid w:val="00752DD8"/>
    <w:rsid w:val="007D225C"/>
    <w:rsid w:val="00812D5D"/>
    <w:rsid w:val="00875D51"/>
    <w:rsid w:val="00A03EDC"/>
    <w:rsid w:val="00AD25E7"/>
    <w:rsid w:val="00BD3210"/>
    <w:rsid w:val="00DF18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6916C"/>
  <w15:docId w15:val="{D2DC5303-8A8A-4224-B108-EA94E19B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18"/>
    <w:rPr>
      <w:lang w:eastAsia="zh-CN"/>
    </w:rPr>
  </w:style>
  <w:style w:type="paragraph" w:styleId="Heading1">
    <w:name w:val="heading 1"/>
    <w:basedOn w:val="Normal"/>
    <w:next w:val="Normal"/>
    <w:link w:val="Heading1Char"/>
    <w:uiPriority w:val="9"/>
    <w:qFormat/>
    <w:rsid w:val="008B4D75"/>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4C03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4C03A8"/>
    <w:rPr>
      <w:rFonts w:ascii="Times New Roman" w:eastAsia="Times New Roman" w:hAnsi="Times New Roman" w:cs="Times New Roman"/>
      <w:b/>
      <w:bCs/>
      <w:sz w:val="27"/>
      <w:szCs w:val="27"/>
    </w:rPr>
  </w:style>
  <w:style w:type="paragraph" w:customStyle="1" w:styleId="entry-subheading">
    <w:name w:val="entry-subheading"/>
    <w:basedOn w:val="Normal"/>
    <w:rsid w:val="004C03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03A8"/>
    <w:rPr>
      <w:color w:val="0000FF"/>
      <w:u w:val="single"/>
    </w:rPr>
  </w:style>
  <w:style w:type="paragraph" w:styleId="NormalWeb">
    <w:name w:val="Normal (Web)"/>
    <w:basedOn w:val="Normal"/>
    <w:uiPriority w:val="99"/>
    <w:unhideWhenUsed/>
    <w:rsid w:val="004C03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3A8"/>
    <w:rPr>
      <w:b/>
      <w:bCs/>
    </w:rPr>
  </w:style>
  <w:style w:type="character" w:styleId="Emphasis">
    <w:name w:val="Emphasis"/>
    <w:basedOn w:val="DefaultParagraphFont"/>
    <w:uiPriority w:val="20"/>
    <w:qFormat/>
    <w:rsid w:val="004C03A8"/>
    <w:rPr>
      <w:i/>
      <w:iCs/>
    </w:rPr>
  </w:style>
  <w:style w:type="character" w:customStyle="1" w:styleId="Heading1Char">
    <w:name w:val="Heading 1 Char"/>
    <w:basedOn w:val="DefaultParagraphFont"/>
    <w:link w:val="Heading1"/>
    <w:uiPriority w:val="9"/>
    <w:rsid w:val="008B4D75"/>
    <w:rPr>
      <w:rFonts w:ascii="Cambria" w:eastAsia="SimSun" w:hAnsi="Cambria" w:cs="Times New Roman"/>
      <w:b/>
      <w:bCs/>
      <w:kern w:val="32"/>
      <w:sz w:val="32"/>
      <w:szCs w:val="32"/>
    </w:rPr>
  </w:style>
  <w:style w:type="paragraph" w:styleId="BalloonText">
    <w:name w:val="Balloon Text"/>
    <w:basedOn w:val="Normal"/>
    <w:link w:val="BalloonTextChar"/>
    <w:uiPriority w:val="99"/>
    <w:semiHidden/>
    <w:unhideWhenUsed/>
    <w:rsid w:val="0050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BFD"/>
    <w:rPr>
      <w:rFonts w:ascii="Tahoma" w:hAnsi="Tahoma" w:cs="Tahoma"/>
      <w:sz w:val="16"/>
      <w:szCs w:val="16"/>
    </w:rPr>
  </w:style>
  <w:style w:type="character" w:styleId="CommentReference">
    <w:name w:val="annotation reference"/>
    <w:basedOn w:val="DefaultParagraphFont"/>
    <w:uiPriority w:val="99"/>
    <w:semiHidden/>
    <w:unhideWhenUsed/>
    <w:rsid w:val="00A302F9"/>
    <w:rPr>
      <w:sz w:val="16"/>
      <w:szCs w:val="16"/>
    </w:rPr>
  </w:style>
  <w:style w:type="paragraph" w:styleId="CommentText">
    <w:name w:val="annotation text"/>
    <w:basedOn w:val="Normal"/>
    <w:link w:val="CommentTextChar"/>
    <w:uiPriority w:val="99"/>
    <w:semiHidden/>
    <w:unhideWhenUsed/>
    <w:rsid w:val="00A302F9"/>
    <w:pPr>
      <w:spacing w:line="240" w:lineRule="auto"/>
    </w:pPr>
    <w:rPr>
      <w:sz w:val="20"/>
      <w:szCs w:val="20"/>
    </w:rPr>
  </w:style>
  <w:style w:type="character" w:customStyle="1" w:styleId="CommentTextChar">
    <w:name w:val="Comment Text Char"/>
    <w:basedOn w:val="DefaultParagraphFont"/>
    <w:link w:val="CommentText"/>
    <w:uiPriority w:val="99"/>
    <w:semiHidden/>
    <w:rsid w:val="00A302F9"/>
    <w:rPr>
      <w:lang w:eastAsia="zh-CN"/>
    </w:rPr>
  </w:style>
  <w:style w:type="paragraph" w:styleId="CommentSubject">
    <w:name w:val="annotation subject"/>
    <w:basedOn w:val="CommentText"/>
    <w:next w:val="CommentText"/>
    <w:link w:val="CommentSubjectChar"/>
    <w:uiPriority w:val="99"/>
    <w:semiHidden/>
    <w:unhideWhenUsed/>
    <w:rsid w:val="00A302F9"/>
    <w:rPr>
      <w:b/>
      <w:bCs/>
    </w:rPr>
  </w:style>
  <w:style w:type="character" w:customStyle="1" w:styleId="CommentSubjectChar">
    <w:name w:val="Comment Subject Char"/>
    <w:basedOn w:val="CommentTextChar"/>
    <w:link w:val="CommentSubject"/>
    <w:uiPriority w:val="99"/>
    <w:semiHidden/>
    <w:rsid w:val="00A302F9"/>
    <w:rPr>
      <w:b/>
      <w:bCs/>
      <w:lang w:eastAsia="zh-CN"/>
    </w:rPr>
  </w:style>
  <w:style w:type="paragraph" w:styleId="PlainText">
    <w:name w:val="Plain Text"/>
    <w:basedOn w:val="Normal"/>
    <w:link w:val="PlainTextChar"/>
    <w:uiPriority w:val="99"/>
    <w:rsid w:val="00BA72CE"/>
    <w:pPr>
      <w:spacing w:after="0" w:line="240" w:lineRule="auto"/>
    </w:pPr>
    <w:rPr>
      <w:rFonts w:ascii="Courier New" w:hAnsi="Courier New" w:cs="Courier New"/>
      <w:sz w:val="20"/>
      <w:szCs w:val="20"/>
      <w:lang w:val="en-CA"/>
    </w:rPr>
  </w:style>
  <w:style w:type="character" w:customStyle="1" w:styleId="PlainTextChar">
    <w:name w:val="Plain Text Char"/>
    <w:basedOn w:val="DefaultParagraphFont"/>
    <w:link w:val="PlainText"/>
    <w:uiPriority w:val="99"/>
    <w:rsid w:val="00BA72CE"/>
    <w:rPr>
      <w:rFonts w:ascii="Courier New" w:hAnsi="Courier New" w:cs="Courier New"/>
      <w:lang w:val="en-CA" w:eastAsia="zh-CN"/>
    </w:rPr>
  </w:style>
  <w:style w:type="paragraph" w:styleId="ListParagraph">
    <w:name w:val="List Paragraph"/>
    <w:basedOn w:val="Normal"/>
    <w:uiPriority w:val="34"/>
    <w:qFormat/>
    <w:rsid w:val="00633EDA"/>
    <w:pPr>
      <w:ind w:left="720"/>
      <w:contextualSpacing/>
    </w:pPr>
  </w:style>
  <w:style w:type="character" w:styleId="FollowedHyperlink">
    <w:name w:val="FollowedHyperlink"/>
    <w:basedOn w:val="DefaultParagraphFont"/>
    <w:uiPriority w:val="99"/>
    <w:semiHidden/>
    <w:unhideWhenUsed/>
    <w:rsid w:val="003D362E"/>
    <w:rPr>
      <w:color w:val="800080" w:themeColor="followedHyperlink"/>
      <w:u w:val="single"/>
    </w:rPr>
  </w:style>
  <w:style w:type="character" w:customStyle="1" w:styleId="apple-converted-space">
    <w:name w:val="apple-converted-space"/>
    <w:basedOn w:val="DefaultParagraphFont"/>
    <w:rsid w:val="000451E0"/>
  </w:style>
  <w:style w:type="character" w:customStyle="1" w:styleId="xs1">
    <w:name w:val="x_s1"/>
    <w:basedOn w:val="DefaultParagraphFont"/>
    <w:rsid w:val="00E27A85"/>
  </w:style>
  <w:style w:type="character" w:customStyle="1" w:styleId="xapple-converted-space">
    <w:name w:val="x_apple-converted-space"/>
    <w:basedOn w:val="DefaultParagraphFont"/>
    <w:rsid w:val="00E27A85"/>
  </w:style>
  <w:style w:type="character" w:customStyle="1" w:styleId="highlight">
    <w:name w:val="highlight"/>
    <w:basedOn w:val="DefaultParagraphFont"/>
    <w:rsid w:val="00E27A85"/>
  </w:style>
  <w:style w:type="character" w:customStyle="1" w:styleId="UnresolvedMention1">
    <w:name w:val="Unresolved Mention1"/>
    <w:basedOn w:val="DefaultParagraphFont"/>
    <w:uiPriority w:val="99"/>
    <w:semiHidden/>
    <w:unhideWhenUsed/>
    <w:rsid w:val="00093459"/>
    <w:rPr>
      <w:color w:val="605E5C"/>
      <w:shd w:val="clear" w:color="auto" w:fill="E1DFDD"/>
    </w:rPr>
  </w:style>
  <w:style w:type="paragraph" w:styleId="Header">
    <w:name w:val="header"/>
    <w:basedOn w:val="Normal"/>
    <w:link w:val="HeaderChar"/>
    <w:uiPriority w:val="99"/>
    <w:unhideWhenUsed/>
    <w:rsid w:val="005F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01"/>
    <w:rPr>
      <w:sz w:val="22"/>
      <w:szCs w:val="22"/>
      <w:lang w:eastAsia="zh-CN"/>
    </w:rPr>
  </w:style>
  <w:style w:type="paragraph" w:styleId="Footer">
    <w:name w:val="footer"/>
    <w:basedOn w:val="Normal"/>
    <w:link w:val="FooterChar"/>
    <w:uiPriority w:val="99"/>
    <w:unhideWhenUsed/>
    <w:rsid w:val="005F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01"/>
    <w:rPr>
      <w:sz w:val="22"/>
      <w:szCs w:val="22"/>
      <w:lang w:eastAsia="zh-CN"/>
    </w:rPr>
  </w:style>
  <w:style w:type="table" w:styleId="TableGrid">
    <w:name w:val="Table Grid"/>
    <w:basedOn w:val="TableNormal"/>
    <w:uiPriority w:val="39"/>
    <w:rsid w:val="00BB400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4B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658307">
      <w:bodyDiv w:val="1"/>
      <w:marLeft w:val="0"/>
      <w:marRight w:val="0"/>
      <w:marTop w:val="0"/>
      <w:marBottom w:val="0"/>
      <w:divBdr>
        <w:top w:val="none" w:sz="0" w:space="0" w:color="auto"/>
        <w:left w:val="none" w:sz="0" w:space="0" w:color="auto"/>
        <w:bottom w:val="none" w:sz="0" w:space="0" w:color="auto"/>
        <w:right w:val="none" w:sz="0" w:space="0" w:color="auto"/>
      </w:divBdr>
    </w:div>
    <w:div w:id="966662141">
      <w:bodyDiv w:val="1"/>
      <w:marLeft w:val="0"/>
      <w:marRight w:val="0"/>
      <w:marTop w:val="0"/>
      <w:marBottom w:val="0"/>
      <w:divBdr>
        <w:top w:val="none" w:sz="0" w:space="0" w:color="auto"/>
        <w:left w:val="none" w:sz="0" w:space="0" w:color="auto"/>
        <w:bottom w:val="none" w:sz="0" w:space="0" w:color="auto"/>
        <w:right w:val="none" w:sz="0" w:space="0" w:color="auto"/>
      </w:divBdr>
    </w:div>
    <w:div w:id="1386291474">
      <w:bodyDiv w:val="1"/>
      <w:marLeft w:val="0"/>
      <w:marRight w:val="0"/>
      <w:marTop w:val="0"/>
      <w:marBottom w:val="0"/>
      <w:divBdr>
        <w:top w:val="none" w:sz="0" w:space="0" w:color="auto"/>
        <w:left w:val="none" w:sz="0" w:space="0" w:color="auto"/>
        <w:bottom w:val="none" w:sz="0" w:space="0" w:color="auto"/>
        <w:right w:val="none" w:sz="0" w:space="0" w:color="auto"/>
      </w:divBdr>
    </w:div>
    <w:div w:id="1387489885">
      <w:bodyDiv w:val="1"/>
      <w:marLeft w:val="0"/>
      <w:marRight w:val="0"/>
      <w:marTop w:val="0"/>
      <w:marBottom w:val="0"/>
      <w:divBdr>
        <w:top w:val="none" w:sz="0" w:space="0" w:color="auto"/>
        <w:left w:val="none" w:sz="0" w:space="0" w:color="auto"/>
        <w:bottom w:val="none" w:sz="0" w:space="0" w:color="auto"/>
        <w:right w:val="none" w:sz="0" w:space="0" w:color="auto"/>
      </w:divBdr>
    </w:div>
    <w:div w:id="1598828668">
      <w:bodyDiv w:val="1"/>
      <w:marLeft w:val="0"/>
      <w:marRight w:val="0"/>
      <w:marTop w:val="0"/>
      <w:marBottom w:val="0"/>
      <w:divBdr>
        <w:top w:val="none" w:sz="0" w:space="0" w:color="auto"/>
        <w:left w:val="none" w:sz="0" w:space="0" w:color="auto"/>
        <w:bottom w:val="none" w:sz="0" w:space="0" w:color="auto"/>
        <w:right w:val="none" w:sz="0" w:space="0" w:color="auto"/>
      </w:divBdr>
      <w:divsChild>
        <w:div w:id="648755831">
          <w:marLeft w:val="0"/>
          <w:marRight w:val="0"/>
          <w:marTop w:val="0"/>
          <w:marBottom w:val="0"/>
          <w:divBdr>
            <w:top w:val="none" w:sz="0" w:space="0" w:color="auto"/>
            <w:left w:val="none" w:sz="0" w:space="0" w:color="auto"/>
            <w:bottom w:val="none" w:sz="0" w:space="0" w:color="auto"/>
            <w:right w:val="none" w:sz="0" w:space="0" w:color="auto"/>
          </w:divBdr>
        </w:div>
        <w:div w:id="207107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iki.creativecommons.org/wiki/Government_use_of_Creative_Comm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thitrust.org/abou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urcommons.ca/DocumentViewer/en/42-1/INDU/report-16/" TargetMode="External"/><Relationship Id="rId1" Type="http://schemas.openxmlformats.org/officeDocument/2006/relationships/hyperlink" Target="https://www.scc-csc.ca/case-dossier/cb/2019/37863-eng.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ua07nIjF0j3DrYDq5l812gQog==">AMUW2mXCtK9LvxEZ3bsD7BYHbwTmX2/63HLfOOStHGy6X2DPb0550K2VLkcUc2cPdz5was+x+2BmGv25sKXDoY2U5VX3T8Xfu8274S8GuvDtVtFakDuAz1LTE4ZkFuDNjba1banbc6PZ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E24AF9-E31B-42F3-A08F-A6824981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Hazzan</dc:creator>
  <cp:lastModifiedBy>Rob LeForte</cp:lastModifiedBy>
  <cp:revision>2</cp:revision>
  <dcterms:created xsi:type="dcterms:W3CDTF">2020-09-16T13:08:00Z</dcterms:created>
  <dcterms:modified xsi:type="dcterms:W3CDTF">2020-09-16T13:08:00Z</dcterms:modified>
</cp:coreProperties>
</file>