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3542A" w14:textId="77777777" w:rsidR="009966C9" w:rsidRPr="00DE0CF3" w:rsidRDefault="009966C9" w:rsidP="009966C9">
      <w:pPr>
        <w:rPr>
          <w:rFonts w:ascii="Century Gothic" w:hAnsi="Century Gothic" w:cstheme="minorHAnsi"/>
          <w:b/>
          <w:lang w:val="fr-FR"/>
        </w:rPr>
      </w:pPr>
      <w:r w:rsidRPr="00DE0CF3">
        <w:rPr>
          <w:rFonts w:ascii="Century Gothic" w:hAnsi="Century Gothic" w:cstheme="minorHAnsi"/>
          <w:lang w:val="fr-FR"/>
        </w:rPr>
        <w:t xml:space="preserve">À : Consult-Impact (Rob L.) </w:t>
      </w:r>
      <w:r w:rsidRPr="00DE0CF3">
        <w:rPr>
          <w:rFonts w:ascii="Century Gothic" w:hAnsi="Century Gothic" w:cstheme="minorHAnsi"/>
          <w:b/>
          <w:lang w:val="fr-FR"/>
        </w:rPr>
        <w:t>MESURE DE SUIVI</w:t>
      </w:r>
    </w:p>
    <w:p w14:paraId="2FA0BCF4" w14:textId="77777777" w:rsidR="009966C9" w:rsidRPr="00DE0CF3" w:rsidRDefault="009966C9" w:rsidP="009966C9">
      <w:pPr>
        <w:rPr>
          <w:rFonts w:ascii="Century Gothic" w:hAnsi="Century Gothic" w:cstheme="minorHAnsi"/>
          <w:lang w:val="fr-FR"/>
        </w:rPr>
      </w:pPr>
      <w:r w:rsidRPr="00DE0CF3">
        <w:rPr>
          <w:rFonts w:ascii="Century Gothic" w:hAnsi="Century Gothic" w:cstheme="minorHAnsi"/>
          <w:lang w:val="fr-FR"/>
        </w:rPr>
        <w:t>CC : Sites Web de la FCAB et de l’ABRC</w:t>
      </w:r>
      <w:r w:rsidRPr="00DE0CF3">
        <w:rPr>
          <w:rFonts w:ascii="Century Gothic" w:hAnsi="Century Gothic" w:cstheme="minorHAnsi"/>
          <w:lang w:val="fr-FR"/>
        </w:rPr>
        <w:br/>
      </w:r>
    </w:p>
    <w:p w14:paraId="447DB37C" w14:textId="77777777" w:rsidR="009966C9" w:rsidRPr="00DE0CF3" w:rsidRDefault="009966C9" w:rsidP="009966C9">
      <w:pPr>
        <w:rPr>
          <w:rFonts w:ascii="Century Gothic" w:hAnsi="Century Gothic" w:cstheme="minorHAnsi"/>
          <w:lang w:val="fr-FR"/>
        </w:rPr>
      </w:pPr>
      <w:r w:rsidRPr="00DE0CF3">
        <w:rPr>
          <w:rFonts w:ascii="Century Gothic" w:hAnsi="Century Gothic" w:cstheme="minorHAnsi"/>
          <w:lang w:val="fr-FR"/>
        </w:rPr>
        <w:t>18 août 2020</w:t>
      </w:r>
    </w:p>
    <w:p w14:paraId="255B6388" w14:textId="77777777" w:rsidR="009966C9" w:rsidRPr="00DE0CF3" w:rsidRDefault="009966C9" w:rsidP="009966C9">
      <w:pPr>
        <w:rPr>
          <w:rFonts w:ascii="Century Gothic" w:hAnsi="Century Gothic" w:cstheme="minorHAnsi"/>
          <w:lang w:val="fr-FR"/>
        </w:rPr>
      </w:pPr>
    </w:p>
    <w:p w14:paraId="3E0616D2" w14:textId="77777777" w:rsidR="009966C9" w:rsidRPr="00DE0CF3" w:rsidRDefault="009966C9" w:rsidP="009966C9">
      <w:pPr>
        <w:rPr>
          <w:rFonts w:ascii="Century Gothic" w:hAnsi="Century Gothic" w:cstheme="minorHAnsi"/>
          <w:b/>
          <w:lang w:val="fr-FR"/>
        </w:rPr>
      </w:pPr>
      <w:r w:rsidRPr="00DE0CF3">
        <w:rPr>
          <w:rFonts w:ascii="Century Gothic" w:hAnsi="Century Gothic" w:cstheme="minorHAnsi"/>
          <w:b/>
          <w:lang w:val="fr-FR"/>
        </w:rPr>
        <w:t>Les Canadiens ont besoin d’un accès sans entrave aux publications gouvernementales face à la COVID-19</w:t>
      </w:r>
    </w:p>
    <w:p w14:paraId="0AA65BE5" w14:textId="77777777" w:rsidR="009966C9" w:rsidRPr="00DE0CF3" w:rsidRDefault="009966C9" w:rsidP="009966C9">
      <w:pPr>
        <w:rPr>
          <w:rFonts w:ascii="Century Gothic" w:hAnsi="Century Gothic" w:cstheme="minorHAnsi"/>
          <w:lang w:val="fr-FR"/>
        </w:rPr>
      </w:pPr>
    </w:p>
    <w:p w14:paraId="2B201F5C" w14:textId="77777777" w:rsidR="009966C9" w:rsidRPr="00DE0CF3" w:rsidRDefault="009966C9" w:rsidP="009966C9">
      <w:pPr>
        <w:rPr>
          <w:rFonts w:ascii="Century Gothic" w:hAnsi="Century Gothic" w:cstheme="minorHAnsi"/>
          <w:lang w:val="fr-FR"/>
        </w:rPr>
      </w:pPr>
      <w:r w:rsidRPr="00DE0CF3">
        <w:rPr>
          <w:rFonts w:ascii="Century Gothic" w:hAnsi="Century Gothic" w:cstheme="minorHAnsi"/>
          <w:lang w:val="fr-FR"/>
        </w:rPr>
        <w:t>La Fédération canadienne des associations de bibliothèques (FCAB) et l’Association des bibliothèques de recherche du Canada (ABRC) demandent au gouvernement fédéral et aux gouvernements provinciaux de faire en sorte que les publications officielles soient plus accessibles aux Canadiens en attribuant une licence CC-BY à l’information gouvernementale accessible au public. Nous considérons qu’il s’agit d’une intervention nécessaire et immédiate face à la COVID-19 et d’un modèle par défaut approprié pour accéder à l’information gouvernementale.</w:t>
      </w:r>
    </w:p>
    <w:p w14:paraId="0A5FC49F" w14:textId="77777777" w:rsidR="009966C9" w:rsidRPr="00DE0CF3" w:rsidRDefault="009966C9" w:rsidP="009966C9">
      <w:pPr>
        <w:rPr>
          <w:rFonts w:ascii="Century Gothic" w:hAnsi="Century Gothic" w:cstheme="minorHAnsi"/>
          <w:lang w:val="fr-FR"/>
        </w:rPr>
      </w:pPr>
    </w:p>
    <w:p w14:paraId="1706C415" w14:textId="77777777" w:rsidR="009966C9" w:rsidRPr="00DE0CF3" w:rsidRDefault="009966C9" w:rsidP="009966C9">
      <w:pPr>
        <w:rPr>
          <w:rFonts w:ascii="Century Gothic" w:hAnsi="Century Gothic" w:cstheme="minorHAnsi"/>
          <w:lang w:val="fr-FR"/>
        </w:rPr>
      </w:pPr>
      <w:r w:rsidRPr="00DE0CF3">
        <w:rPr>
          <w:rFonts w:ascii="Century Gothic" w:hAnsi="Century Gothic" w:cstheme="minorHAnsi"/>
          <w:lang w:val="fr-FR"/>
        </w:rPr>
        <w:t xml:space="preserve">Au cours des derniers mois, alors qu’ils affrontaient des défis sans précédent causés par la pandémie de COVID-19, les Canadiens se sont fiés à leurs gouvernements pour obtenir des renseignements sur le nouveau coronavirus et ses répercussions. Aujourd’hui plus que jamais, l’accès sans entrave à l’information gouvernementale financée par les contribuables est d’une importance fondamentale pour une société démocratique et pour la santé de ses citoyens. </w:t>
      </w:r>
    </w:p>
    <w:p w14:paraId="799D1591" w14:textId="77777777" w:rsidR="009966C9" w:rsidRPr="00DE0CF3" w:rsidRDefault="009966C9" w:rsidP="009966C9">
      <w:pPr>
        <w:rPr>
          <w:rFonts w:ascii="Century Gothic" w:hAnsi="Century Gothic" w:cstheme="minorHAnsi"/>
          <w:lang w:val="fr-FR"/>
        </w:rPr>
      </w:pPr>
    </w:p>
    <w:p w14:paraId="1A5167DF" w14:textId="77777777" w:rsidR="009966C9" w:rsidRPr="00DE0CF3" w:rsidRDefault="009966C9" w:rsidP="009966C9">
      <w:pPr>
        <w:rPr>
          <w:rFonts w:ascii="Century Gothic" w:hAnsi="Century Gothic" w:cstheme="minorHAnsi"/>
          <w:lang w:val="fr-FR"/>
        </w:rPr>
      </w:pPr>
      <w:r w:rsidRPr="00DE0CF3">
        <w:rPr>
          <w:rFonts w:ascii="Century Gothic" w:hAnsi="Century Gothic" w:cstheme="minorHAnsi"/>
          <w:lang w:val="fr-FR"/>
        </w:rPr>
        <w:t xml:space="preserve">Malheureusement, les obstacles préexistants et la confusion concernant le droit d’auteur de la Couronne ont aggravé les problèmes liés à l’accès à l’information gouvernementale. Par exemple, les demandes de permission coûteuses et inutiles présentées aux ministères sont sujettes à d’importants retards, le contenu numérique existant demeure inutilement restreint, et les questions concernant le contrôle et la diffusion des œuvres imprimées et numériques, ainsi que la collecte de données, entravent leur partage et leur redistribution. </w:t>
      </w:r>
    </w:p>
    <w:p w14:paraId="400A83CB" w14:textId="77777777" w:rsidR="009966C9" w:rsidRPr="00DE0CF3" w:rsidRDefault="009966C9" w:rsidP="009966C9">
      <w:pPr>
        <w:rPr>
          <w:rFonts w:ascii="Century Gothic" w:hAnsi="Century Gothic" w:cstheme="minorHAnsi"/>
          <w:lang w:val="fr-FR"/>
        </w:rPr>
      </w:pPr>
    </w:p>
    <w:p w14:paraId="6E6EDBE9" w14:textId="77777777" w:rsidR="009966C9" w:rsidRPr="00DE0CF3" w:rsidRDefault="009966C9" w:rsidP="009966C9">
      <w:pPr>
        <w:rPr>
          <w:rFonts w:ascii="Century Gothic" w:hAnsi="Century Gothic" w:cstheme="minorHAnsi"/>
          <w:lang w:val="fr-FR"/>
        </w:rPr>
      </w:pPr>
      <w:r w:rsidRPr="00DE0CF3">
        <w:rPr>
          <w:rFonts w:ascii="Century Gothic" w:hAnsi="Century Gothic" w:cstheme="minorHAnsi"/>
          <w:lang w:val="fr-FR"/>
        </w:rPr>
        <w:lastRenderedPageBreak/>
        <w:t xml:space="preserve">La mesure appropriée à prendre consisterait à attribuer une licence ouverte reconnue au contenu gouvernemental accessible au public. </w:t>
      </w:r>
    </w:p>
    <w:p w14:paraId="2DF75954" w14:textId="77777777" w:rsidR="009966C9" w:rsidRPr="00DE0CF3" w:rsidRDefault="009966C9" w:rsidP="009966C9">
      <w:pPr>
        <w:rPr>
          <w:rFonts w:ascii="Century Gothic" w:hAnsi="Century Gothic" w:cstheme="minorHAnsi"/>
          <w:lang w:val="fr-FR"/>
        </w:rPr>
      </w:pPr>
    </w:p>
    <w:p w14:paraId="052AC3B6" w14:textId="77777777" w:rsidR="009966C9" w:rsidRPr="00DE0CF3" w:rsidRDefault="009966C9" w:rsidP="009966C9">
      <w:pPr>
        <w:rPr>
          <w:rFonts w:ascii="Century Gothic" w:hAnsi="Century Gothic" w:cstheme="minorHAnsi"/>
          <w:lang w:val="fr-FR"/>
        </w:rPr>
      </w:pPr>
      <w:r w:rsidRPr="00DE0CF3">
        <w:rPr>
          <w:rFonts w:ascii="Century Gothic" w:hAnsi="Century Gothic" w:cstheme="minorHAnsi"/>
          <w:lang w:val="fr-FR"/>
        </w:rPr>
        <w:t>Plus précisément, l’attribution rétroactive et permanente d’une licence de Creative Commons</w:t>
      </w:r>
      <w:r w:rsidRPr="00DE0CF3">
        <w:rPr>
          <w:rFonts w:ascii="Century Gothic" w:hAnsi="Century Gothic" w:cstheme="minorHAnsi"/>
          <w:vertAlign w:val="superscript"/>
        </w:rPr>
        <w:footnoteReference w:id="1"/>
      </w:r>
      <w:r w:rsidRPr="00DE0CF3">
        <w:rPr>
          <w:rFonts w:ascii="Century Gothic" w:hAnsi="Century Gothic" w:cstheme="minorHAnsi"/>
          <w:lang w:val="fr-FR"/>
        </w:rPr>
        <w:t xml:space="preserve"> à toutes les publications du gouvernement accessibles au public permettrait de réduire les obstacles juridiques liés au droit d’auteur qui empêchent la préservation, la reproduction et la redistribution de ces importants rapports et travaux parlementaires, dont bon nombre se rapportent directement aux questions de santé et de sécurité. Cette licence améliorerait l’application de l’actuelle licence de gouvernement ouvert et refléterait les décisions stratégiques prises dans d’</w:t>
      </w:r>
      <w:hyperlink r:id="rId8">
        <w:r w:rsidRPr="00DE0CF3">
          <w:rPr>
            <w:rFonts w:ascii="Century Gothic" w:hAnsi="Century Gothic" w:cstheme="minorHAnsi"/>
            <w:color w:val="1155CC"/>
            <w:u w:val="single"/>
            <w:lang w:val="fr-FR"/>
          </w:rPr>
          <w:t>autres pays</w:t>
        </w:r>
      </w:hyperlink>
      <w:r w:rsidRPr="00DE0CF3">
        <w:rPr>
          <w:rFonts w:ascii="Century Gothic" w:hAnsi="Century Gothic" w:cstheme="minorHAnsi"/>
          <w:lang w:val="fr-FR"/>
        </w:rPr>
        <w:t>, notamment en Australie et en Nouvelle-Zélande.</w:t>
      </w:r>
    </w:p>
    <w:p w14:paraId="54A2C893" w14:textId="77777777" w:rsidR="009966C9" w:rsidRPr="00DE0CF3" w:rsidRDefault="009966C9" w:rsidP="009966C9">
      <w:pPr>
        <w:jc w:val="center"/>
        <w:rPr>
          <w:rFonts w:ascii="Century Gothic" w:hAnsi="Century Gothic" w:cstheme="minorHAnsi"/>
          <w:lang w:val="fr-FR"/>
        </w:rPr>
      </w:pPr>
    </w:p>
    <w:p w14:paraId="03F596BC" w14:textId="77777777" w:rsidR="009966C9" w:rsidRPr="00DE0CF3" w:rsidRDefault="009966C9" w:rsidP="009966C9">
      <w:pPr>
        <w:rPr>
          <w:rFonts w:ascii="Century Gothic" w:hAnsi="Century Gothic" w:cstheme="minorHAnsi"/>
          <w:lang w:val="fr-FR"/>
        </w:rPr>
      </w:pPr>
      <w:r w:rsidRPr="00DE0CF3">
        <w:rPr>
          <w:rFonts w:ascii="Century Gothic" w:hAnsi="Century Gothic" w:cstheme="minorHAnsi"/>
          <w:lang w:val="fr-FR"/>
        </w:rPr>
        <w:t xml:space="preserve">Une licence CC-BY par défaut rétroactive permettrait immédiatement l’accès à des centaines de milliers de publications numériques et imprimées du gouvernement, y compris des dizaines de milliers de publications qui ont déjà été numérisées par les membres du partenariat de la bibliothèque </w:t>
      </w:r>
      <w:hyperlink r:id="rId9">
        <w:proofErr w:type="spellStart"/>
        <w:r w:rsidRPr="00DE0CF3">
          <w:rPr>
            <w:rFonts w:ascii="Century Gothic" w:hAnsi="Century Gothic" w:cstheme="minorHAnsi"/>
            <w:color w:val="1155CC"/>
            <w:u w:val="single"/>
            <w:lang w:val="fr-FR"/>
          </w:rPr>
          <w:t>HathiTrust</w:t>
        </w:r>
        <w:proofErr w:type="spellEnd"/>
      </w:hyperlink>
      <w:r w:rsidRPr="00DE0CF3">
        <w:rPr>
          <w:rFonts w:ascii="Century Gothic" w:hAnsi="Century Gothic" w:cstheme="minorHAnsi"/>
          <w:lang w:val="fr-FR"/>
        </w:rPr>
        <w:t xml:space="preserve">. Cet organisme international sans but lucratif consacre actuellement des centaines d’heures de son personnel à l’examen des publications du gouvernement du Canada aux fins de l’affranchissement des droits — soit du temps et de l’énergie qui ne seraient pas nécessaires si l’on attribuait une licence ouverte complète et normalisée. L’attribution d’une licence ouverte reconnue permettrait également d’éliminer les contraintes associées à la numérisation et au partage des documents publiés dans les collections de bibliothèques et d’archives. </w:t>
      </w:r>
    </w:p>
    <w:p w14:paraId="7FA449EA" w14:textId="77777777" w:rsidR="009966C9" w:rsidRPr="00DE0CF3" w:rsidRDefault="009966C9" w:rsidP="009966C9">
      <w:pPr>
        <w:rPr>
          <w:rFonts w:ascii="Century Gothic" w:hAnsi="Century Gothic" w:cstheme="minorHAnsi"/>
          <w:lang w:val="fr-FR"/>
        </w:rPr>
      </w:pPr>
    </w:p>
    <w:p w14:paraId="5CB488DF" w14:textId="77777777" w:rsidR="009966C9" w:rsidRPr="00DE0CF3" w:rsidRDefault="009966C9" w:rsidP="009966C9">
      <w:pPr>
        <w:rPr>
          <w:rFonts w:ascii="Century Gothic" w:hAnsi="Century Gothic" w:cstheme="minorHAnsi"/>
          <w:lang w:val="fr-FR"/>
        </w:rPr>
      </w:pPr>
      <w:r w:rsidRPr="00DE0CF3">
        <w:rPr>
          <w:rFonts w:ascii="Century Gothic" w:hAnsi="Century Gothic" w:cstheme="minorHAnsi"/>
          <w:lang w:val="fr-FR"/>
        </w:rPr>
        <w:t xml:space="preserve">Les Canadiens méritent un accès sans entrave à l’information produite par leur gouvernement à des fins de diffusion générale. Une licence CC-BY par défaut rétroactive et permanente aiderait le Canada à se rapprocher de ses objectifs en ce qui concerne le gouvernement ouvert et à procéder au réexamen de l’article 12 qui a </w:t>
      </w:r>
      <w:r w:rsidRPr="00DE0CF3">
        <w:rPr>
          <w:rFonts w:ascii="Century Gothic" w:hAnsi="Century Gothic" w:cstheme="minorHAnsi"/>
          <w:lang w:val="fr-FR"/>
        </w:rPr>
        <w:lastRenderedPageBreak/>
        <w:t>récemment été suggéré par la Cour suprême du Canada</w:t>
      </w:r>
      <w:r w:rsidRPr="00DE0CF3">
        <w:rPr>
          <w:rFonts w:ascii="Century Gothic" w:hAnsi="Century Gothic" w:cstheme="minorHAnsi"/>
          <w:vertAlign w:val="superscript"/>
        </w:rPr>
        <w:footnoteReference w:id="2"/>
      </w:r>
      <w:r w:rsidRPr="00DE0CF3">
        <w:rPr>
          <w:rFonts w:ascii="Century Gothic" w:hAnsi="Century Gothic" w:cstheme="minorHAnsi"/>
          <w:lang w:val="fr-FR"/>
        </w:rPr>
        <w:t xml:space="preserve"> et le comité parlementaire qui a révisé la </w:t>
      </w:r>
      <w:r w:rsidRPr="00DE0CF3">
        <w:rPr>
          <w:rFonts w:ascii="Century Gothic" w:hAnsi="Century Gothic" w:cstheme="minorHAnsi"/>
          <w:i/>
          <w:lang w:val="fr-FR"/>
        </w:rPr>
        <w:t>Loi sur le droit d’auteur</w:t>
      </w:r>
      <w:r w:rsidRPr="00DE0CF3">
        <w:rPr>
          <w:rFonts w:ascii="Century Gothic" w:hAnsi="Century Gothic" w:cstheme="minorHAnsi"/>
          <w:vertAlign w:val="superscript"/>
        </w:rPr>
        <w:footnoteReference w:id="3"/>
      </w:r>
      <w:r w:rsidRPr="00DE0CF3">
        <w:rPr>
          <w:rFonts w:ascii="Century Gothic" w:hAnsi="Century Gothic" w:cstheme="minorHAnsi"/>
          <w:lang w:val="fr-FR"/>
        </w:rPr>
        <w:t>.</w:t>
      </w:r>
    </w:p>
    <w:p w14:paraId="65DB9A9A" w14:textId="77777777" w:rsidR="009966C9" w:rsidRPr="00DE0CF3" w:rsidRDefault="009966C9" w:rsidP="009966C9">
      <w:pPr>
        <w:rPr>
          <w:rFonts w:ascii="Century Gothic" w:hAnsi="Century Gothic" w:cstheme="minorHAnsi"/>
          <w:lang w:val="fr-FR"/>
        </w:rPr>
      </w:pPr>
    </w:p>
    <w:p w14:paraId="51693B4E" w14:textId="6CBAC975" w:rsidR="009966C9" w:rsidRPr="00DE0CF3" w:rsidRDefault="009966C9" w:rsidP="009966C9">
      <w:pPr>
        <w:rPr>
          <w:rFonts w:ascii="Century Gothic" w:hAnsi="Century Gothic" w:cstheme="minorHAnsi"/>
          <w:lang w:val="fr-FR"/>
        </w:rPr>
      </w:pPr>
      <w:r w:rsidRPr="00DE0CF3">
        <w:rPr>
          <w:rFonts w:ascii="Century Gothic" w:hAnsi="Century Gothic" w:cstheme="minorHAnsi"/>
          <w:lang w:val="fr-FR"/>
        </w:rPr>
        <w:t xml:space="preserve">La Fédération canadienne des associations de bibliothèques/Canadian </w:t>
      </w:r>
      <w:proofErr w:type="spellStart"/>
      <w:r w:rsidRPr="00DE0CF3">
        <w:rPr>
          <w:rFonts w:ascii="Century Gothic" w:hAnsi="Century Gothic" w:cstheme="minorHAnsi"/>
          <w:lang w:val="fr-FR"/>
        </w:rPr>
        <w:t>Federation</w:t>
      </w:r>
      <w:proofErr w:type="spellEnd"/>
      <w:r w:rsidRPr="00DE0CF3">
        <w:rPr>
          <w:rFonts w:ascii="Century Gothic" w:hAnsi="Century Gothic" w:cstheme="minorHAnsi"/>
          <w:lang w:val="fr-FR"/>
        </w:rPr>
        <w:t xml:space="preserve"> of Library Associations (FCAB-CFLA) est le porte-parole national des associations de bibliothèques du Canada. Nos objectifs sont les suivants : accroître l’excellence des services de bibliothèque au Canada, défendre les valeurs et l’importance des bibliothèques, influencer les politiques publiques nationales et internationales qui touchent les bibliothèques et leurs collectivités.</w:t>
      </w:r>
    </w:p>
    <w:p w14:paraId="4D14FF05" w14:textId="77777777" w:rsidR="009966C9" w:rsidRPr="00DE0CF3" w:rsidRDefault="009966C9" w:rsidP="009966C9">
      <w:pPr>
        <w:spacing w:before="240" w:after="240"/>
        <w:rPr>
          <w:rFonts w:ascii="Century Gothic" w:hAnsi="Century Gothic" w:cstheme="minorHAnsi"/>
          <w:lang w:val="fr-FR"/>
        </w:rPr>
      </w:pPr>
      <w:r w:rsidRPr="00DE0CF3">
        <w:rPr>
          <w:rFonts w:ascii="Century Gothic" w:hAnsi="Century Gothic" w:cstheme="minorHAnsi"/>
          <w:color w:val="212529"/>
          <w:lang w:val="fr-FR"/>
        </w:rPr>
        <w:t xml:space="preserve">L’ABRC est la porte-parole des bibliothèques de recherche du Canada. Elle compte parmi ses membres les vingt-neuf plus grosses bibliothèques universitaires du Canada et deux institutions fédérales. L’ABRC améliore la capacité de ses membres à faire avancer la recherche et l’enseignement supérieur, fait la promotion de l’efficacité et de la pérennité de la création, de la diffusion et de la préservation des connaissances et défend les politiques publiques permettant un vaste accès à l’information savante. Les deux établissements membres fédéraux de l’ABRC contribuent à l’entreprise de recherche du Canada et collaborent avec le milieu des bibliothèques universitaires en coordonnant leurs efforts, mais ne participent pas à la promotion de l’ABRC à l’échelle fédérale. </w:t>
      </w:r>
    </w:p>
    <w:p w14:paraId="41A50C8A" w14:textId="77777777" w:rsidR="00143DBE" w:rsidRPr="00DE0CF3" w:rsidRDefault="00875D51" w:rsidP="004B117A">
      <w:pPr>
        <w:spacing w:before="240" w:after="240"/>
        <w:ind w:left="720"/>
        <w:rPr>
          <w:rFonts w:ascii="Century Gothic" w:eastAsia="Century Gothic" w:hAnsi="Century Gothic" w:cstheme="minorHAnsi"/>
          <w:lang w:val="fr-FR"/>
        </w:rPr>
      </w:pPr>
      <w:r w:rsidRPr="00DE0CF3">
        <w:rPr>
          <w:rFonts w:ascii="Century Gothic" w:eastAsia="Century Gothic" w:hAnsi="Century Gothic" w:cstheme="minorHAnsi"/>
          <w:lang w:val="fr-FR"/>
        </w:rPr>
        <w:t>-30-</w:t>
      </w:r>
    </w:p>
    <w:p w14:paraId="6BBE0A75" w14:textId="77777777" w:rsidR="00FD6309" w:rsidRPr="00DE0CF3" w:rsidRDefault="00FD6309" w:rsidP="00FD6309">
      <w:pPr>
        <w:spacing w:before="240" w:after="240"/>
        <w:rPr>
          <w:rFonts w:ascii="Century Gothic" w:eastAsia="Century Gothic" w:hAnsi="Century Gothic" w:cstheme="minorHAnsi"/>
          <w:lang w:val="fr-FR"/>
        </w:rPr>
      </w:pPr>
      <w:r w:rsidRPr="00DE0CF3">
        <w:rPr>
          <w:rFonts w:ascii="Century Gothic" w:eastAsia="Century Gothic" w:hAnsi="Century Gothic" w:cstheme="minorHAnsi"/>
          <w:lang w:val="fr-FR"/>
        </w:rPr>
        <w:t xml:space="preserve">Pour </w:t>
      </w:r>
      <w:r w:rsidRPr="00DE0CF3">
        <w:rPr>
          <w:rFonts w:ascii="Century Gothic" w:hAnsi="Century Gothic" w:cstheme="minorHAnsi"/>
          <w:color w:val="212529"/>
          <w:lang w:val="fr-FR"/>
        </w:rPr>
        <w:t>obtenir</w:t>
      </w:r>
      <w:r w:rsidRPr="00DE0CF3">
        <w:rPr>
          <w:rFonts w:ascii="Century Gothic" w:eastAsia="Century Gothic" w:hAnsi="Century Gothic" w:cstheme="minorHAnsi"/>
          <w:lang w:val="fr-FR"/>
        </w:rPr>
        <w:t xml:space="preserve"> de plus amples renseignements, veuillez communiquer avec :</w:t>
      </w:r>
    </w:p>
    <w:p w14:paraId="48F0B839" w14:textId="77777777" w:rsidR="00143DBE" w:rsidRPr="00DE0CF3" w:rsidRDefault="00143DBE" w:rsidP="00FD6309">
      <w:pPr>
        <w:rPr>
          <w:rFonts w:ascii="Century Gothic" w:eastAsia="Century Gothic" w:hAnsi="Century Gothic" w:cstheme="minorHAnsi"/>
          <w:lang w:val="fr-FR"/>
        </w:rPr>
      </w:pPr>
    </w:p>
    <w:tbl>
      <w:tblPr>
        <w:tblStyle w:val="a"/>
        <w:tblW w:w="4675" w:type="dxa"/>
        <w:tblBorders>
          <w:top w:val="nil"/>
          <w:left w:val="nil"/>
          <w:bottom w:val="nil"/>
          <w:right w:val="nil"/>
          <w:insideH w:val="nil"/>
          <w:insideV w:val="nil"/>
        </w:tblBorders>
        <w:tblLayout w:type="fixed"/>
        <w:tblLook w:val="0400" w:firstRow="0" w:lastRow="0" w:firstColumn="0" w:lastColumn="0" w:noHBand="0" w:noVBand="1"/>
      </w:tblPr>
      <w:tblGrid>
        <w:gridCol w:w="4675"/>
      </w:tblGrid>
      <w:tr w:rsidR="00143DBE" w:rsidRPr="00DE0CF3" w14:paraId="64F648C0" w14:textId="77777777">
        <w:tc>
          <w:tcPr>
            <w:tcW w:w="4675" w:type="dxa"/>
          </w:tcPr>
          <w:p w14:paraId="55D845B0" w14:textId="25BA5FB0" w:rsidR="00143DBE" w:rsidRPr="00DE0CF3" w:rsidRDefault="00875D51" w:rsidP="004B117A">
            <w:pPr>
              <w:rPr>
                <w:rFonts w:ascii="Century Gothic" w:eastAsia="Century Gothic" w:hAnsi="Century Gothic" w:cstheme="minorHAnsi"/>
              </w:rPr>
            </w:pPr>
            <w:bookmarkStart w:id="1" w:name="_heading=h.gjdgxs" w:colFirst="0" w:colLast="0"/>
            <w:bookmarkEnd w:id="1"/>
            <w:r w:rsidRPr="00DE0CF3">
              <w:rPr>
                <w:rFonts w:ascii="Century Gothic" w:eastAsia="Century Gothic" w:hAnsi="Century Gothic" w:cstheme="minorHAnsi"/>
              </w:rPr>
              <w:t>Rebecca Raven</w:t>
            </w:r>
            <w:r w:rsidRPr="00DE0CF3">
              <w:rPr>
                <w:rFonts w:ascii="Century Gothic" w:eastAsia="Century Gothic" w:hAnsi="Century Gothic" w:cstheme="minorHAnsi"/>
              </w:rPr>
              <w:br/>
            </w:r>
            <w:r w:rsidR="00FD6309" w:rsidRPr="00DE0CF3">
              <w:rPr>
                <w:rFonts w:ascii="Century Gothic" w:eastAsia="Century Gothic" w:hAnsi="Century Gothic" w:cstheme="minorHAnsi"/>
                <w:lang w:val="fr-FR"/>
              </w:rPr>
              <w:t>Directrice général</w:t>
            </w:r>
            <w:r w:rsidR="00FD6309" w:rsidRPr="00DE0CF3">
              <w:rPr>
                <w:rFonts w:ascii="Century Gothic" w:eastAsia="Century Gothic" w:hAnsi="Century Gothic" w:cstheme="minorHAnsi"/>
                <w:lang w:val="fr-FR"/>
              </w:rPr>
              <w:t>e</w:t>
            </w:r>
            <w:r w:rsidRPr="00DE0CF3">
              <w:rPr>
                <w:rFonts w:ascii="Century Gothic" w:eastAsia="Century Gothic" w:hAnsi="Century Gothic" w:cstheme="minorHAnsi"/>
              </w:rPr>
              <w:br/>
              <w:t>rraven@cfla-fcab.ca</w:t>
            </w:r>
          </w:p>
        </w:tc>
      </w:tr>
    </w:tbl>
    <w:p w14:paraId="5751E975" w14:textId="77777777" w:rsidR="00143DBE" w:rsidRPr="00DE0CF3" w:rsidRDefault="00875D51" w:rsidP="004B117A">
      <w:pPr>
        <w:rPr>
          <w:rFonts w:ascii="Century Gothic" w:eastAsia="Century Gothic" w:hAnsi="Century Gothic" w:cstheme="minorHAnsi"/>
        </w:rPr>
      </w:pPr>
      <w:r w:rsidRPr="00DE0CF3">
        <w:rPr>
          <w:rFonts w:ascii="Century Gothic" w:eastAsia="Century Gothic" w:hAnsi="Century Gothic" w:cstheme="minorHAnsi"/>
        </w:rPr>
        <w:t xml:space="preserve"> </w:t>
      </w:r>
    </w:p>
    <w:sectPr w:rsidR="00143DBE" w:rsidRPr="00DE0CF3">
      <w:headerReference w:type="default" r:id="rId10"/>
      <w:head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225A8" w14:textId="77777777" w:rsidR="00950027" w:rsidRDefault="00950027">
      <w:pPr>
        <w:spacing w:after="0" w:line="240" w:lineRule="auto"/>
      </w:pPr>
      <w:r>
        <w:separator/>
      </w:r>
    </w:p>
  </w:endnote>
  <w:endnote w:type="continuationSeparator" w:id="0">
    <w:p w14:paraId="77EB3866" w14:textId="77777777" w:rsidR="00950027" w:rsidRDefault="0095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794F1" w14:textId="77777777" w:rsidR="00950027" w:rsidRDefault="00950027">
      <w:pPr>
        <w:spacing w:after="0" w:line="240" w:lineRule="auto"/>
      </w:pPr>
      <w:bookmarkStart w:id="0" w:name="_Hlk50017535"/>
      <w:bookmarkEnd w:id="0"/>
      <w:r>
        <w:separator/>
      </w:r>
    </w:p>
  </w:footnote>
  <w:footnote w:type="continuationSeparator" w:id="0">
    <w:p w14:paraId="64796F44" w14:textId="77777777" w:rsidR="00950027" w:rsidRDefault="00950027">
      <w:pPr>
        <w:spacing w:after="0" w:line="240" w:lineRule="auto"/>
      </w:pPr>
      <w:r>
        <w:continuationSeparator/>
      </w:r>
    </w:p>
  </w:footnote>
  <w:footnote w:id="1">
    <w:p w14:paraId="39883AEF" w14:textId="77777777" w:rsidR="009966C9" w:rsidRPr="009966C9" w:rsidRDefault="009966C9" w:rsidP="009966C9">
      <w:pPr>
        <w:spacing w:line="240" w:lineRule="auto"/>
        <w:rPr>
          <w:sz w:val="20"/>
          <w:szCs w:val="20"/>
          <w:lang w:val="fr-FR"/>
        </w:rPr>
      </w:pPr>
      <w:r>
        <w:rPr>
          <w:vertAlign w:val="superscript"/>
        </w:rPr>
        <w:footnoteRef/>
      </w:r>
      <w:r w:rsidRPr="009966C9">
        <w:rPr>
          <w:lang w:val="fr-FR"/>
        </w:rPr>
        <w:t xml:space="preserve"> </w:t>
      </w:r>
      <w:r w:rsidRPr="009966C9">
        <w:rPr>
          <w:sz w:val="20"/>
          <w:szCs w:val="20"/>
          <w:lang w:val="fr-FR"/>
        </w:rPr>
        <w:t xml:space="preserve">Comme c’est le cas dans d’autres pays, la licence d’attribution de Creative Commons (CC-BY) comme licence par défaut devrait convenir dans la majorité des cas, avec des exceptions au besoin pour la licence d’attribution non commerciale de Creative Commons (CC-BY-NC) et l’application appropriée des protocoles relatifs aux connaissances autochtones. </w:t>
      </w:r>
    </w:p>
  </w:footnote>
  <w:footnote w:id="2">
    <w:p w14:paraId="3A49ADAE" w14:textId="77777777" w:rsidR="009966C9" w:rsidRPr="009966C9" w:rsidRDefault="009966C9" w:rsidP="009966C9">
      <w:pPr>
        <w:spacing w:line="240" w:lineRule="auto"/>
        <w:rPr>
          <w:sz w:val="20"/>
          <w:szCs w:val="20"/>
          <w:lang w:val="fr-FR"/>
        </w:rPr>
      </w:pPr>
      <w:r>
        <w:rPr>
          <w:vertAlign w:val="superscript"/>
        </w:rPr>
        <w:footnoteRef/>
      </w:r>
      <w:proofErr w:type="spellStart"/>
      <w:r w:rsidRPr="00961514">
        <w:rPr>
          <w:i/>
          <w:iCs/>
          <w:sz w:val="20"/>
          <w:szCs w:val="20"/>
        </w:rPr>
        <w:t>Keatley</w:t>
      </w:r>
      <w:proofErr w:type="spellEnd"/>
      <w:r w:rsidRPr="00961514">
        <w:rPr>
          <w:i/>
          <w:iCs/>
          <w:sz w:val="20"/>
          <w:szCs w:val="20"/>
        </w:rPr>
        <w:t xml:space="preserve"> Surveying Ltd. c. </w:t>
      </w:r>
      <w:proofErr w:type="spellStart"/>
      <w:r w:rsidRPr="00961514">
        <w:rPr>
          <w:i/>
          <w:iCs/>
          <w:sz w:val="20"/>
          <w:szCs w:val="20"/>
        </w:rPr>
        <w:t>Teranet</w:t>
      </w:r>
      <w:proofErr w:type="spellEnd"/>
      <w:r w:rsidRPr="00961514">
        <w:rPr>
          <w:i/>
          <w:iCs/>
          <w:sz w:val="20"/>
          <w:szCs w:val="20"/>
        </w:rPr>
        <w:t xml:space="preserve"> Inc.</w:t>
      </w:r>
      <w:r w:rsidRPr="00961514">
        <w:rPr>
          <w:sz w:val="20"/>
          <w:szCs w:val="20"/>
        </w:rPr>
        <w:t xml:space="preserve">, 2019 CSC 43. </w:t>
      </w:r>
      <w:hyperlink r:id="rId1">
        <w:r w:rsidRPr="009966C9">
          <w:rPr>
            <w:color w:val="1155CC"/>
            <w:sz w:val="20"/>
            <w:szCs w:val="20"/>
            <w:u w:val="single"/>
            <w:lang w:val="fr-FR"/>
          </w:rPr>
          <w:t>https://www.scc-csc.ca/case-dossier/cb/2019/37863-fra.aspx</w:t>
        </w:r>
      </w:hyperlink>
    </w:p>
  </w:footnote>
  <w:footnote w:id="3">
    <w:p w14:paraId="77D67637" w14:textId="54CF8371" w:rsidR="009966C9" w:rsidRDefault="009966C9" w:rsidP="009966C9">
      <w:pPr>
        <w:spacing w:line="240" w:lineRule="auto"/>
        <w:rPr>
          <w:sz w:val="20"/>
          <w:szCs w:val="20"/>
        </w:rPr>
      </w:pPr>
      <w:r>
        <w:rPr>
          <w:vertAlign w:val="superscript"/>
        </w:rPr>
        <w:footnoteRef/>
      </w:r>
      <w:r w:rsidRPr="009966C9">
        <w:rPr>
          <w:sz w:val="20"/>
          <w:szCs w:val="20"/>
          <w:lang w:val="fr-FR"/>
        </w:rPr>
        <w:t xml:space="preserve"> Parlement du Canada. Comité permanent de l’industrie, des sciences et de la technologie. Examen prévu par la loi de la </w:t>
      </w:r>
      <w:r w:rsidRPr="009966C9">
        <w:rPr>
          <w:i/>
          <w:sz w:val="20"/>
          <w:szCs w:val="20"/>
          <w:lang w:val="fr-FR"/>
        </w:rPr>
        <w:t>Loi sur le droit d’auteur</w:t>
      </w:r>
      <w:r w:rsidRPr="009966C9">
        <w:rPr>
          <w:sz w:val="20"/>
          <w:szCs w:val="20"/>
          <w:lang w:val="fr-FR"/>
        </w:rPr>
        <w:t xml:space="preserve">. </w:t>
      </w:r>
      <w:proofErr w:type="spellStart"/>
      <w:r>
        <w:rPr>
          <w:sz w:val="20"/>
          <w:szCs w:val="20"/>
        </w:rPr>
        <w:t>Juin</w:t>
      </w:r>
      <w:proofErr w:type="spellEnd"/>
      <w:r>
        <w:rPr>
          <w:sz w:val="20"/>
          <w:szCs w:val="20"/>
        </w:rPr>
        <w:t xml:space="preserve"> 2019. </w:t>
      </w:r>
      <w:hyperlink r:id="rId2">
        <w:r>
          <w:rPr>
            <w:color w:val="1155CC"/>
            <w:sz w:val="20"/>
            <w:szCs w:val="20"/>
            <w:u w:val="single"/>
          </w:rPr>
          <w:t>https://www.noscommunes.ca/DocumentViewer/fr/42-1/INDU/rapport-16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74865" w14:textId="7478C616" w:rsidR="00143DBE" w:rsidRDefault="00875D51">
    <w:pPr>
      <w:pBdr>
        <w:top w:val="nil"/>
        <w:left w:val="nil"/>
        <w:bottom w:val="nil"/>
        <w:right w:val="nil"/>
        <w:between w:val="nil"/>
      </w:pBdr>
      <w:tabs>
        <w:tab w:val="center" w:pos="4680"/>
        <w:tab w:val="right" w:pos="9360"/>
      </w:tabs>
      <w:spacing w:after="0" w:line="240"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CFLA-FCAB</w:t>
    </w:r>
    <w:r w:rsidR="007D225C">
      <w:rPr>
        <w:rFonts w:ascii="Century Gothic" w:eastAsia="Century Gothic" w:hAnsi="Century Gothic" w:cs="Century Gothic"/>
        <w:sz w:val="20"/>
        <w:szCs w:val="20"/>
      </w:rPr>
      <w:t xml:space="preserve"> Crown Copyright Letter</w:t>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separate"/>
    </w:r>
    <w:r w:rsidR="004B117A">
      <w:rPr>
        <w:rFonts w:ascii="Century Gothic" w:eastAsia="Century Gothic" w:hAnsi="Century Gothic" w:cs="Century Gothic"/>
        <w:noProof/>
        <w:color w:val="000000"/>
        <w:sz w:val="20"/>
        <w:szCs w:val="20"/>
      </w:rPr>
      <w:t>2</w:t>
    </w:r>
    <w:r>
      <w:rPr>
        <w:rFonts w:ascii="Century Gothic" w:eastAsia="Century Gothic" w:hAnsi="Century Gothic" w:cs="Century Gothic"/>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1CDB0" w14:textId="58B5B0ED" w:rsidR="00143DBE" w:rsidRDefault="007D225C">
    <w:pPr>
      <w:pBdr>
        <w:top w:val="nil"/>
        <w:left w:val="nil"/>
        <w:bottom w:val="nil"/>
        <w:right w:val="nil"/>
        <w:between w:val="nil"/>
      </w:pBdr>
      <w:tabs>
        <w:tab w:val="center" w:pos="4680"/>
        <w:tab w:val="right" w:pos="9360"/>
      </w:tabs>
      <w:spacing w:after="0" w:line="240" w:lineRule="auto"/>
      <w:jc w:val="center"/>
      <w:rPr>
        <w:color w:val="000000"/>
      </w:rPr>
    </w:pPr>
    <w:r>
      <w:rPr>
        <w:rFonts w:ascii="Century Gothic" w:eastAsia="Century Gothic" w:hAnsi="Century Gothic" w:cs="Century Gothic"/>
        <w:b/>
        <w:noProof/>
        <w:color w:val="7F7F7F"/>
      </w:rPr>
      <w:drawing>
        <wp:anchor distT="0" distB="0" distL="114300" distR="114300" simplePos="0" relativeHeight="251658240" behindDoc="0" locked="0" layoutInCell="1" hidden="0" allowOverlap="1" wp14:anchorId="49DBCF82" wp14:editId="71FFF626">
          <wp:simplePos x="0" y="0"/>
          <wp:positionH relativeFrom="margin">
            <wp:posOffset>-845820</wp:posOffset>
          </wp:positionH>
          <wp:positionV relativeFrom="topMargin">
            <wp:posOffset>167640</wp:posOffset>
          </wp:positionV>
          <wp:extent cx="4640580" cy="967740"/>
          <wp:effectExtent l="0" t="0" r="7620" b="381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640580" cy="967740"/>
                  </a:xfrm>
                  <a:prstGeom prst="rect">
                    <a:avLst/>
                  </a:prstGeom>
                  <a:ln/>
                </pic:spPr>
              </pic:pic>
            </a:graphicData>
          </a:graphic>
          <wp14:sizeRelH relativeFrom="margin">
            <wp14:pctWidth>0</wp14:pctWidth>
          </wp14:sizeRelH>
          <wp14:sizeRelV relativeFrom="margin">
            <wp14:pctHeight>0</wp14:pctHeight>
          </wp14:sizeRelV>
        </wp:anchor>
      </w:drawing>
    </w:r>
    <w:r>
      <w:rPr>
        <w:rFonts w:ascii="Century Gothic" w:eastAsia="Century Gothic" w:hAnsi="Century Gothic" w:cs="Century Gothic"/>
        <w:b/>
        <w:noProof/>
        <w:color w:val="7F7F7F"/>
        <w:sz w:val="26"/>
        <w:szCs w:val="26"/>
      </w:rPr>
      <w:drawing>
        <wp:anchor distT="0" distB="0" distL="114300" distR="114300" simplePos="0" relativeHeight="251660288" behindDoc="1" locked="0" layoutInCell="1" allowOverlap="1" wp14:anchorId="2678A32D" wp14:editId="4D514D7D">
          <wp:simplePos x="0" y="0"/>
          <wp:positionH relativeFrom="column">
            <wp:posOffset>3909060</wp:posOffset>
          </wp:positionH>
          <wp:positionV relativeFrom="paragraph">
            <wp:posOffset>-358140</wp:posOffset>
          </wp:positionV>
          <wp:extent cx="2727960" cy="106457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7960" cy="1064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CCB5B" w14:textId="77777777" w:rsidR="00143DBE" w:rsidRDefault="00143DBE">
    <w:pPr>
      <w:pBdr>
        <w:top w:val="nil"/>
        <w:left w:val="nil"/>
        <w:bottom w:val="nil"/>
        <w:right w:val="nil"/>
        <w:between w:val="nil"/>
      </w:pBdr>
      <w:tabs>
        <w:tab w:val="center" w:pos="4680"/>
        <w:tab w:val="right" w:pos="9360"/>
      </w:tabs>
      <w:spacing w:after="0" w:line="240" w:lineRule="auto"/>
      <w:jc w:val="center"/>
      <w:rPr>
        <w:color w:val="000000"/>
      </w:rPr>
    </w:pPr>
  </w:p>
  <w:p w14:paraId="6802238B" w14:textId="37CD141A" w:rsidR="00143DBE" w:rsidRDefault="00143DBE">
    <w:pPr>
      <w:pBdr>
        <w:top w:val="nil"/>
        <w:left w:val="nil"/>
        <w:bottom w:val="nil"/>
        <w:right w:val="nil"/>
        <w:between w:val="nil"/>
      </w:pBdr>
      <w:tabs>
        <w:tab w:val="center" w:pos="4680"/>
        <w:tab w:val="right" w:pos="9360"/>
      </w:tabs>
      <w:spacing w:after="0" w:line="240" w:lineRule="auto"/>
      <w:jc w:val="center"/>
      <w:rPr>
        <w:color w:val="000000"/>
      </w:rPr>
    </w:pPr>
  </w:p>
  <w:p w14:paraId="351A8242" w14:textId="7860961E" w:rsidR="00143DBE" w:rsidRDefault="00143DBE">
    <w:pPr>
      <w:pBdr>
        <w:top w:val="nil"/>
        <w:left w:val="nil"/>
        <w:bottom w:val="nil"/>
        <w:right w:val="nil"/>
        <w:between w:val="nil"/>
      </w:pBdr>
      <w:tabs>
        <w:tab w:val="center" w:pos="4680"/>
        <w:tab w:val="right" w:pos="9360"/>
      </w:tabs>
      <w:spacing w:after="0" w:line="240" w:lineRule="auto"/>
      <w:rPr>
        <w:color w:val="000000"/>
        <w:sz w:val="26"/>
        <w:szCs w:val="26"/>
      </w:rPr>
    </w:pPr>
  </w:p>
  <w:p w14:paraId="13B44532" w14:textId="7FE70AEE" w:rsidR="00143DBE" w:rsidRDefault="00875D51">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14:anchorId="7902C3C6" wp14:editId="7A1D8D78">
              <wp:simplePos x="0" y="0"/>
              <wp:positionH relativeFrom="column">
                <wp:posOffset>1</wp:posOffset>
              </wp:positionH>
              <wp:positionV relativeFrom="paragraph">
                <wp:posOffset>127000</wp:posOffset>
              </wp:positionV>
              <wp:extent cx="5943600" cy="15875"/>
              <wp:effectExtent l="0" t="0" r="0" b="0"/>
              <wp:wrapNone/>
              <wp:docPr id="7" name="Straight Arrow Connector 7"/>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5875" cap="flat" cmpd="sng">
                        <a:solidFill>
                          <a:srgbClr val="7F7F7F"/>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5943600" cy="15875"/>
              <wp:effectExtent b="0" l="0" r="0" t="0"/>
              <wp:wrapNone/>
              <wp:docPr id="7"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5943600" cy="1587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DBE"/>
    <w:rsid w:val="00143DBE"/>
    <w:rsid w:val="004B117A"/>
    <w:rsid w:val="007D225C"/>
    <w:rsid w:val="00875D51"/>
    <w:rsid w:val="00950027"/>
    <w:rsid w:val="009966C9"/>
    <w:rsid w:val="00DE0CF3"/>
    <w:rsid w:val="00FD63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6916C"/>
  <w15:docId w15:val="{D2DC5303-8A8A-4224-B108-EA94E19B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D18"/>
    <w:rPr>
      <w:lang w:eastAsia="zh-CN"/>
    </w:rPr>
  </w:style>
  <w:style w:type="paragraph" w:styleId="Heading1">
    <w:name w:val="heading 1"/>
    <w:basedOn w:val="Normal"/>
    <w:next w:val="Normal"/>
    <w:link w:val="Heading1Char"/>
    <w:uiPriority w:val="9"/>
    <w:qFormat/>
    <w:rsid w:val="008B4D75"/>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4C03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4C03A8"/>
    <w:rPr>
      <w:rFonts w:ascii="Times New Roman" w:eastAsia="Times New Roman" w:hAnsi="Times New Roman" w:cs="Times New Roman"/>
      <w:b/>
      <w:bCs/>
      <w:sz w:val="27"/>
      <w:szCs w:val="27"/>
    </w:rPr>
  </w:style>
  <w:style w:type="paragraph" w:customStyle="1" w:styleId="entry-subheading">
    <w:name w:val="entry-subheading"/>
    <w:basedOn w:val="Normal"/>
    <w:rsid w:val="004C03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03A8"/>
    <w:rPr>
      <w:color w:val="0000FF"/>
      <w:u w:val="single"/>
    </w:rPr>
  </w:style>
  <w:style w:type="paragraph" w:styleId="NormalWeb">
    <w:name w:val="Normal (Web)"/>
    <w:basedOn w:val="Normal"/>
    <w:uiPriority w:val="99"/>
    <w:unhideWhenUsed/>
    <w:rsid w:val="004C03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03A8"/>
    <w:rPr>
      <w:b/>
      <w:bCs/>
    </w:rPr>
  </w:style>
  <w:style w:type="character" w:styleId="Emphasis">
    <w:name w:val="Emphasis"/>
    <w:basedOn w:val="DefaultParagraphFont"/>
    <w:uiPriority w:val="20"/>
    <w:qFormat/>
    <w:rsid w:val="004C03A8"/>
    <w:rPr>
      <w:i/>
      <w:iCs/>
    </w:rPr>
  </w:style>
  <w:style w:type="character" w:customStyle="1" w:styleId="Heading1Char">
    <w:name w:val="Heading 1 Char"/>
    <w:basedOn w:val="DefaultParagraphFont"/>
    <w:link w:val="Heading1"/>
    <w:uiPriority w:val="9"/>
    <w:rsid w:val="008B4D75"/>
    <w:rPr>
      <w:rFonts w:ascii="Cambria" w:eastAsia="SimSun" w:hAnsi="Cambria" w:cs="Times New Roman"/>
      <w:b/>
      <w:bCs/>
      <w:kern w:val="32"/>
      <w:sz w:val="32"/>
      <w:szCs w:val="32"/>
    </w:rPr>
  </w:style>
  <w:style w:type="paragraph" w:styleId="BalloonText">
    <w:name w:val="Balloon Text"/>
    <w:basedOn w:val="Normal"/>
    <w:link w:val="BalloonTextChar"/>
    <w:uiPriority w:val="99"/>
    <w:semiHidden/>
    <w:unhideWhenUsed/>
    <w:rsid w:val="00505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BFD"/>
    <w:rPr>
      <w:rFonts w:ascii="Tahoma" w:hAnsi="Tahoma" w:cs="Tahoma"/>
      <w:sz w:val="16"/>
      <w:szCs w:val="16"/>
    </w:rPr>
  </w:style>
  <w:style w:type="character" w:styleId="CommentReference">
    <w:name w:val="annotation reference"/>
    <w:basedOn w:val="DefaultParagraphFont"/>
    <w:uiPriority w:val="99"/>
    <w:semiHidden/>
    <w:unhideWhenUsed/>
    <w:rsid w:val="00A302F9"/>
    <w:rPr>
      <w:sz w:val="16"/>
      <w:szCs w:val="16"/>
    </w:rPr>
  </w:style>
  <w:style w:type="paragraph" w:styleId="CommentText">
    <w:name w:val="annotation text"/>
    <w:basedOn w:val="Normal"/>
    <w:link w:val="CommentTextChar"/>
    <w:uiPriority w:val="99"/>
    <w:semiHidden/>
    <w:unhideWhenUsed/>
    <w:rsid w:val="00A302F9"/>
    <w:pPr>
      <w:spacing w:line="240" w:lineRule="auto"/>
    </w:pPr>
    <w:rPr>
      <w:sz w:val="20"/>
      <w:szCs w:val="20"/>
    </w:rPr>
  </w:style>
  <w:style w:type="character" w:customStyle="1" w:styleId="CommentTextChar">
    <w:name w:val="Comment Text Char"/>
    <w:basedOn w:val="DefaultParagraphFont"/>
    <w:link w:val="CommentText"/>
    <w:uiPriority w:val="99"/>
    <w:semiHidden/>
    <w:rsid w:val="00A302F9"/>
    <w:rPr>
      <w:lang w:eastAsia="zh-CN"/>
    </w:rPr>
  </w:style>
  <w:style w:type="paragraph" w:styleId="CommentSubject">
    <w:name w:val="annotation subject"/>
    <w:basedOn w:val="CommentText"/>
    <w:next w:val="CommentText"/>
    <w:link w:val="CommentSubjectChar"/>
    <w:uiPriority w:val="99"/>
    <w:semiHidden/>
    <w:unhideWhenUsed/>
    <w:rsid w:val="00A302F9"/>
    <w:rPr>
      <w:b/>
      <w:bCs/>
    </w:rPr>
  </w:style>
  <w:style w:type="character" w:customStyle="1" w:styleId="CommentSubjectChar">
    <w:name w:val="Comment Subject Char"/>
    <w:basedOn w:val="CommentTextChar"/>
    <w:link w:val="CommentSubject"/>
    <w:uiPriority w:val="99"/>
    <w:semiHidden/>
    <w:rsid w:val="00A302F9"/>
    <w:rPr>
      <w:b/>
      <w:bCs/>
      <w:lang w:eastAsia="zh-CN"/>
    </w:rPr>
  </w:style>
  <w:style w:type="paragraph" w:styleId="PlainText">
    <w:name w:val="Plain Text"/>
    <w:basedOn w:val="Normal"/>
    <w:link w:val="PlainTextChar"/>
    <w:uiPriority w:val="99"/>
    <w:rsid w:val="00BA72CE"/>
    <w:pPr>
      <w:spacing w:after="0" w:line="240" w:lineRule="auto"/>
    </w:pPr>
    <w:rPr>
      <w:rFonts w:ascii="Courier New" w:hAnsi="Courier New" w:cs="Courier New"/>
      <w:sz w:val="20"/>
      <w:szCs w:val="20"/>
      <w:lang w:val="en-CA"/>
    </w:rPr>
  </w:style>
  <w:style w:type="character" w:customStyle="1" w:styleId="PlainTextChar">
    <w:name w:val="Plain Text Char"/>
    <w:basedOn w:val="DefaultParagraphFont"/>
    <w:link w:val="PlainText"/>
    <w:uiPriority w:val="99"/>
    <w:rsid w:val="00BA72CE"/>
    <w:rPr>
      <w:rFonts w:ascii="Courier New" w:hAnsi="Courier New" w:cs="Courier New"/>
      <w:lang w:val="en-CA" w:eastAsia="zh-CN"/>
    </w:rPr>
  </w:style>
  <w:style w:type="paragraph" w:styleId="ListParagraph">
    <w:name w:val="List Paragraph"/>
    <w:basedOn w:val="Normal"/>
    <w:uiPriority w:val="34"/>
    <w:qFormat/>
    <w:rsid w:val="00633EDA"/>
    <w:pPr>
      <w:ind w:left="720"/>
      <w:contextualSpacing/>
    </w:pPr>
  </w:style>
  <w:style w:type="character" w:styleId="FollowedHyperlink">
    <w:name w:val="FollowedHyperlink"/>
    <w:basedOn w:val="DefaultParagraphFont"/>
    <w:uiPriority w:val="99"/>
    <w:semiHidden/>
    <w:unhideWhenUsed/>
    <w:rsid w:val="003D362E"/>
    <w:rPr>
      <w:color w:val="800080" w:themeColor="followedHyperlink"/>
      <w:u w:val="single"/>
    </w:rPr>
  </w:style>
  <w:style w:type="character" w:customStyle="1" w:styleId="apple-converted-space">
    <w:name w:val="apple-converted-space"/>
    <w:basedOn w:val="DefaultParagraphFont"/>
    <w:rsid w:val="000451E0"/>
  </w:style>
  <w:style w:type="character" w:customStyle="1" w:styleId="xs1">
    <w:name w:val="x_s1"/>
    <w:basedOn w:val="DefaultParagraphFont"/>
    <w:rsid w:val="00E27A85"/>
  </w:style>
  <w:style w:type="character" w:customStyle="1" w:styleId="xapple-converted-space">
    <w:name w:val="x_apple-converted-space"/>
    <w:basedOn w:val="DefaultParagraphFont"/>
    <w:rsid w:val="00E27A85"/>
  </w:style>
  <w:style w:type="character" w:customStyle="1" w:styleId="highlight">
    <w:name w:val="highlight"/>
    <w:basedOn w:val="DefaultParagraphFont"/>
    <w:rsid w:val="00E27A85"/>
  </w:style>
  <w:style w:type="character" w:customStyle="1" w:styleId="UnresolvedMention1">
    <w:name w:val="Unresolved Mention1"/>
    <w:basedOn w:val="DefaultParagraphFont"/>
    <w:uiPriority w:val="99"/>
    <w:semiHidden/>
    <w:unhideWhenUsed/>
    <w:rsid w:val="00093459"/>
    <w:rPr>
      <w:color w:val="605E5C"/>
      <w:shd w:val="clear" w:color="auto" w:fill="E1DFDD"/>
    </w:rPr>
  </w:style>
  <w:style w:type="paragraph" w:styleId="Header">
    <w:name w:val="header"/>
    <w:basedOn w:val="Normal"/>
    <w:link w:val="HeaderChar"/>
    <w:uiPriority w:val="99"/>
    <w:unhideWhenUsed/>
    <w:rsid w:val="005F5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901"/>
    <w:rPr>
      <w:sz w:val="22"/>
      <w:szCs w:val="22"/>
      <w:lang w:eastAsia="zh-CN"/>
    </w:rPr>
  </w:style>
  <w:style w:type="paragraph" w:styleId="Footer">
    <w:name w:val="footer"/>
    <w:basedOn w:val="Normal"/>
    <w:link w:val="FooterChar"/>
    <w:uiPriority w:val="99"/>
    <w:unhideWhenUsed/>
    <w:rsid w:val="005F5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901"/>
    <w:rPr>
      <w:sz w:val="22"/>
      <w:szCs w:val="22"/>
      <w:lang w:eastAsia="zh-CN"/>
    </w:rPr>
  </w:style>
  <w:style w:type="table" w:styleId="TableGrid">
    <w:name w:val="Table Grid"/>
    <w:basedOn w:val="TableNormal"/>
    <w:uiPriority w:val="39"/>
    <w:rsid w:val="00BB400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4B1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iki.creativecommons.org/wiki/Government_use_of_Creative_Comm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athitrust.org/abou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oscommunes.ca/DocumentViewer/fr/42-1/INDU/rapport-16" TargetMode="External"/><Relationship Id="rId1" Type="http://schemas.openxmlformats.org/officeDocument/2006/relationships/hyperlink" Target="https://www.scc-csc.ca/case-dossier/cb/2019/37863-fra.asp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agua07nIjF0j3DrYDq5l812gQog==">AMUW2mXCtK9LvxEZ3bsD7BYHbwTmX2/63HLfOOStHGy6X2DPb0550K2VLkcUc2cPdz5was+x+2BmGv25sKXDoY2U5VX3T8Xfu8274S8GuvDtVtFakDuAz1LTE4ZkFuDNjba1banbc6PZ</go:docsCustomData>
</go:gDocsCustomXmlDataStorage>
</file>

<file path=customXml/itemProps1.xml><?xml version="1.0" encoding="utf-8"?>
<ds:datastoreItem xmlns:ds="http://schemas.openxmlformats.org/officeDocument/2006/customXml" ds:itemID="{DEE24AF9-E31B-42F3-A08F-A6824981FC6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Hazzan</dc:creator>
  <cp:lastModifiedBy>Martha Reeve</cp:lastModifiedBy>
  <cp:revision>4</cp:revision>
  <dcterms:created xsi:type="dcterms:W3CDTF">2020-09-03T13:32:00Z</dcterms:created>
  <dcterms:modified xsi:type="dcterms:W3CDTF">2020-09-03T13:35:00Z</dcterms:modified>
</cp:coreProperties>
</file>